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jpeg" ContentType="image/jpeg"/>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footer1.xml.rels" ContentType="application/vnd.openxmlformats-package.relationships+xml"/>
  <Override PartName="/word/_rels/document.xml.rels" ContentType="application/vnd.openxmlformats-package.relationships+xml"/>
  <Override PartName="/word/_rels/header1.xml.rels" ContentType="application/vnd.openxmlformats-package.relationships+xml"/>
  <Override PartName="/word/_rels/fontTable.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tabs>
          <w:tab w:val="clear" w:pos="720"/>
          <w:tab w:val="left" w:pos="3390" w:leader="none"/>
          <w:tab w:val="center" w:pos="5032" w:leader="none"/>
        </w:tabs>
        <w:spacing w:lineRule="auto" w:line="276" w:before="57" w:after="57"/>
        <w:ind w:left="0" w:right="0"/>
        <w:jc w:val="center"/>
        <w:rPr>
          <w:rFonts w:ascii="Verdana" w:hAnsi="Verdana"/>
          <w:sz w:val="20"/>
          <w:szCs w:val="20"/>
        </w:rPr>
      </w:pPr>
      <w:r>
        <w:rPr>
          <w:rFonts w:ascii="Verdana" w:hAnsi="Verdana"/>
          <w:b/>
          <w:sz w:val="20"/>
          <w:szCs w:val="20"/>
          <w:u w:val="single"/>
        </w:rPr>
        <w:t>ESTUDO TÉCNICO PRELIMINAR</w:t>
      </w:r>
    </w:p>
    <w:p>
      <w:pPr>
        <w:pStyle w:val="Normal"/>
        <w:tabs>
          <w:tab w:val="clear" w:pos="720"/>
          <w:tab w:val="left" w:pos="3390" w:leader="none"/>
          <w:tab w:val="center" w:pos="5032" w:leader="none"/>
        </w:tabs>
        <w:spacing w:lineRule="auto" w:line="276" w:before="57" w:after="57"/>
        <w:ind w:left="0" w:right="0"/>
        <w:jc w:val="center"/>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76" w:before="57" w:after="57"/>
        <w:ind w:left="0" w:right="0"/>
        <w:rPr>
          <w:rFonts w:ascii="Verdana" w:hAnsi="Verdana"/>
          <w:sz w:val="20"/>
          <w:szCs w:val="20"/>
        </w:rPr>
      </w:pPr>
      <w:r>
        <w:rPr>
          <w:rFonts w:ascii="Verdana" w:hAnsi="Verdana"/>
          <w:b/>
          <w:sz w:val="20"/>
          <w:szCs w:val="20"/>
        </w:rPr>
        <w:t>1. INFORMAÇÕES BÁSICAS</w:t>
      </w:r>
    </w:p>
    <w:p>
      <w:pPr>
        <w:pStyle w:val="Normal"/>
        <w:tabs>
          <w:tab w:val="clear" w:pos="720"/>
          <w:tab w:val="left" w:pos="3390" w:leader="none"/>
          <w:tab w:val="center" w:pos="5032" w:leader="none"/>
        </w:tabs>
        <w:spacing w:lineRule="auto" w:line="276" w:before="57" w:after="57"/>
        <w:ind w:left="0" w:right="0"/>
        <w:rPr>
          <w:rFonts w:ascii="Verdana" w:hAnsi="Verdana"/>
          <w:sz w:val="20"/>
          <w:szCs w:val="20"/>
        </w:rPr>
      </w:pPr>
      <w:r>
        <w:rPr>
          <w:rFonts w:ascii="Verdana" w:hAnsi="Verdana"/>
          <w:b/>
          <w:color w:val="000000"/>
          <w:sz w:val="20"/>
          <w:szCs w:val="20"/>
        </w:rPr>
        <w:t xml:space="preserve">1.1. Processo Administrativo nº </w:t>
      </w:r>
      <w:r>
        <w:rPr>
          <w:rFonts w:ascii="Verdana" w:hAnsi="Verdana"/>
          <w:b/>
          <w:color w:val="000000"/>
          <w:sz w:val="20"/>
          <w:szCs w:val="20"/>
        </w:rPr>
        <w:t>8663</w:t>
      </w:r>
      <w:r>
        <w:rPr>
          <w:rFonts w:ascii="Verdana" w:hAnsi="Verdana"/>
          <w:b/>
          <w:color w:val="000000"/>
          <w:sz w:val="20"/>
          <w:szCs w:val="20"/>
        </w:rPr>
        <w:t xml:space="preserve">/2025. </w:t>
      </w:r>
    </w:p>
    <w:p>
      <w:pPr>
        <w:pStyle w:val="Normal"/>
        <w:tabs>
          <w:tab w:val="clear" w:pos="720"/>
          <w:tab w:val="left" w:pos="3390" w:leader="none"/>
          <w:tab w:val="center" w:pos="5032" w:leader="none"/>
        </w:tabs>
        <w:spacing w:lineRule="auto" w:line="276" w:before="57" w:after="57"/>
        <w:ind w:left="0" w:right="0"/>
        <w:rPr>
          <w:rFonts w:ascii="Verdana" w:hAnsi="Verdana" w:eastAsia="Calibri" w:cs="Calibri"/>
          <w:b/>
          <w:color w:val="000000"/>
          <w:sz w:val="20"/>
          <w:szCs w:val="20"/>
        </w:rPr>
      </w:pPr>
      <w:r>
        <w:rPr>
          <w:rFonts w:eastAsia="Calibri" w:cs="Calibri" w:ascii="Verdana" w:hAnsi="Verdana"/>
          <w:b/>
          <w:color w:val="000000"/>
          <w:sz w:val="20"/>
          <w:szCs w:val="20"/>
        </w:rPr>
      </w:r>
    </w:p>
    <w:p>
      <w:pPr>
        <w:pStyle w:val="Normal"/>
        <w:tabs>
          <w:tab w:val="clear" w:pos="720"/>
          <w:tab w:val="left" w:pos="3390" w:leader="none"/>
          <w:tab w:val="center" w:pos="5032" w:leader="none"/>
        </w:tabs>
        <w:spacing w:lineRule="auto" w:line="276" w:before="57" w:after="57"/>
        <w:ind w:left="0" w:right="0"/>
        <w:jc w:val="both"/>
        <w:rPr>
          <w:rFonts w:ascii="Verdana" w:hAnsi="Verdana"/>
          <w:sz w:val="20"/>
          <w:szCs w:val="20"/>
        </w:rPr>
      </w:pPr>
      <w:r>
        <w:rPr>
          <w:rFonts w:ascii="Verdana" w:hAnsi="Verdana"/>
          <w:b/>
          <w:sz w:val="20"/>
          <w:szCs w:val="20"/>
        </w:rPr>
        <w:t>Aquisição de gêneros alimentícios para atender ao Programa de Alimentação Escolar devidamente relacionados e especificados, constantes na Solicitação de Compras nº 264/2025.</w:t>
      </w:r>
    </w:p>
    <w:p>
      <w:pPr>
        <w:pStyle w:val="Normal"/>
        <w:tabs>
          <w:tab w:val="clear" w:pos="720"/>
          <w:tab w:val="left" w:pos="3390" w:leader="none"/>
          <w:tab w:val="center" w:pos="5032" w:leader="none"/>
        </w:tabs>
        <w:spacing w:lineRule="auto" w:line="276" w:before="57" w:after="57"/>
        <w:ind w:left="0" w:right="0"/>
        <w:jc w:val="both"/>
        <w:rPr>
          <w:rFonts w:ascii="Verdana" w:hAnsi="Verdana"/>
          <w:sz w:val="20"/>
          <w:szCs w:val="20"/>
        </w:rPr>
      </w:pPr>
      <w:r>
        <w:rPr/>
      </w:r>
    </w:p>
    <w:p>
      <w:pPr>
        <w:pStyle w:val="Normal"/>
        <w:tabs>
          <w:tab w:val="clear" w:pos="720"/>
          <w:tab w:val="left" w:pos="3390" w:leader="none"/>
          <w:tab w:val="center" w:pos="5032" w:leader="none"/>
        </w:tabs>
        <w:spacing w:lineRule="auto" w:line="276" w:before="57" w:after="57"/>
        <w:ind w:left="0" w:right="0"/>
        <w:jc w:val="both"/>
        <w:rPr>
          <w:rFonts w:ascii="Verdana" w:hAnsi="Verdana"/>
          <w:sz w:val="20"/>
          <w:szCs w:val="20"/>
        </w:rPr>
      </w:pPr>
      <w:r>
        <w:rPr>
          <w:rFonts w:ascii="Verdana" w:hAnsi="Verdana"/>
          <w:color w:val="000000"/>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Normal"/>
        <w:tabs>
          <w:tab w:val="clear" w:pos="720"/>
          <w:tab w:val="left" w:pos="3390" w:leader="none"/>
          <w:tab w:val="center" w:pos="5032" w:leader="none"/>
        </w:tabs>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2. LOCAL DE ENTREGA </w:t>
      </w:r>
    </w:p>
    <w:p>
      <w:pPr>
        <w:pStyle w:val="Normal"/>
        <w:spacing w:lineRule="auto" w:line="276" w:before="57" w:after="57"/>
        <w:ind w:left="0" w:right="0"/>
        <w:jc w:val="both"/>
        <w:rPr>
          <w:rFonts w:ascii="Verdana" w:hAnsi="Verdana"/>
          <w:sz w:val="20"/>
          <w:szCs w:val="20"/>
        </w:rPr>
      </w:pPr>
      <w:r>
        <w:rPr>
          <w:rFonts w:ascii="Verdana" w:hAnsi="Verdana"/>
          <w:sz w:val="20"/>
          <w:szCs w:val="20"/>
        </w:rPr>
        <w:t>Rua: Eli Cardoso S/Nº – Bairro Santa Cecília.</w:t>
      </w:r>
    </w:p>
    <w:p>
      <w:pPr>
        <w:pStyle w:val="Normal"/>
        <w:spacing w:lineRule="auto" w:line="276" w:before="57" w:after="57"/>
        <w:ind w:left="0" w:right="0"/>
        <w:jc w:val="both"/>
        <w:rPr>
          <w:rFonts w:ascii="Verdana" w:hAnsi="Verdana"/>
          <w:sz w:val="20"/>
          <w:szCs w:val="20"/>
        </w:rPr>
      </w:pPr>
      <w:r>
        <w:rPr>
          <w:rFonts w:ascii="Verdana" w:hAnsi="Verdana"/>
          <w:sz w:val="20"/>
          <w:szCs w:val="20"/>
        </w:rPr>
        <w:t xml:space="preserve">Escola - EMEF Irmã Adelaide Bertocchi - Polivalente. </w:t>
      </w:r>
    </w:p>
    <w:p>
      <w:pPr>
        <w:pStyle w:val="Normal"/>
        <w:spacing w:lineRule="auto" w:line="276" w:before="57" w:after="57"/>
        <w:ind w:left="0" w:right="0"/>
        <w:jc w:val="both"/>
        <w:rPr>
          <w:rFonts w:ascii="Verdana" w:hAnsi="Verdana"/>
          <w:sz w:val="20"/>
          <w:szCs w:val="20"/>
        </w:rPr>
      </w:pPr>
      <w:r>
        <w:rPr>
          <w:rFonts w:ascii="Verdana" w:hAnsi="Verdana"/>
          <w:sz w:val="20"/>
          <w:szCs w:val="20"/>
        </w:rPr>
        <w:t>SEMAE – Setor de Merenda Escolar.</w:t>
      </w:r>
    </w:p>
    <w:p>
      <w:pPr>
        <w:pStyle w:val="Normal"/>
        <w:spacing w:lineRule="auto" w:line="276" w:before="57" w:after="57"/>
        <w:ind w:left="0" w:right="0"/>
        <w:jc w:val="both"/>
        <w:rPr>
          <w:rFonts w:ascii="Verdana" w:hAnsi="Verdana"/>
          <w:sz w:val="20"/>
          <w:szCs w:val="20"/>
        </w:rPr>
      </w:pPr>
      <w:r>
        <w:rPr>
          <w:rFonts w:ascii="Verdana" w:hAnsi="Verdana"/>
          <w:sz w:val="20"/>
          <w:szCs w:val="20"/>
        </w:rPr>
        <w:t>São Gabriel da Palha – ES</w:t>
      </w:r>
    </w:p>
    <w:p>
      <w:pPr>
        <w:pStyle w:val="Normal"/>
        <w:spacing w:lineRule="auto" w:line="276" w:before="57" w:after="57"/>
        <w:ind w:left="0" w:right="0"/>
        <w:jc w:val="both"/>
        <w:rPr>
          <w:rFonts w:ascii="Verdana" w:hAnsi="Verdana"/>
          <w:sz w:val="20"/>
          <w:szCs w:val="20"/>
        </w:rPr>
      </w:pPr>
      <w:r>
        <w:rPr>
          <w:rFonts w:ascii="Verdana" w:hAnsi="Verdana"/>
          <w:sz w:val="20"/>
          <w:szCs w:val="20"/>
        </w:rPr>
        <w:t>CEP 29.7800-000</w:t>
      </w:r>
    </w:p>
    <w:p>
      <w:pPr>
        <w:pStyle w:val="Normal"/>
        <w:spacing w:lineRule="auto" w:line="276" w:before="57" w:after="57"/>
        <w:ind w:left="0" w:right="0"/>
        <w:jc w:val="both"/>
        <w:rPr>
          <w:rFonts w:ascii="Verdana" w:hAnsi="Verdana"/>
          <w:sz w:val="20"/>
          <w:szCs w:val="20"/>
        </w:rPr>
      </w:pPr>
      <w:r>
        <w:rPr>
          <w:rFonts w:ascii="Verdana" w:hAnsi="Verdana"/>
          <w:b/>
          <w:sz w:val="20"/>
          <w:szCs w:val="20"/>
        </w:rPr>
        <w:t>CONTATO</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Tel: </w:t>
      </w:r>
      <w:r>
        <w:rPr>
          <w:rFonts w:ascii="Verdana" w:hAnsi="Verdana"/>
          <w:sz w:val="20"/>
          <w:szCs w:val="20"/>
        </w:rPr>
        <w:t>99977-8342</w:t>
      </w:r>
      <w:r>
        <w:rPr>
          <w:rFonts w:ascii="Verdana" w:hAnsi="Verdana"/>
          <w:b/>
          <w:sz w:val="20"/>
          <w:szCs w:val="20"/>
        </w:rPr>
        <w:t xml:space="preserve"> - </w:t>
      </w:r>
      <w:r>
        <w:rPr>
          <w:rFonts w:ascii="Verdana" w:hAnsi="Verdana"/>
          <w:sz w:val="20"/>
          <w:szCs w:val="20"/>
        </w:rPr>
        <w:t xml:space="preserve">99574-4758 - </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Email: </w:t>
      </w:r>
      <w:r>
        <w:rPr>
          <w:rFonts w:ascii="Verdana" w:hAnsi="Verdana"/>
          <w:sz w:val="20"/>
          <w:szCs w:val="20"/>
        </w:rPr>
        <w:t>financeirosemecsgp@gmail.com</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Responsável: </w:t>
      </w:r>
      <w:r>
        <w:rPr>
          <w:rFonts w:ascii="Verdana" w:hAnsi="Verdana"/>
          <w:sz w:val="20"/>
          <w:szCs w:val="20"/>
        </w:rPr>
        <w:t>Secretaria Municipal de Educação e SEMAE – Setor de Alimentação Escolar.</w:t>
      </w:r>
    </w:p>
    <w:p>
      <w:pPr>
        <w:pStyle w:val="Normal"/>
        <w:spacing w:lineRule="auto" w:line="276" w:before="57" w:after="57"/>
        <w:ind w:left="0" w:right="0"/>
        <w:jc w:val="both"/>
        <w:rPr>
          <w:rFonts w:ascii="Verdana" w:hAnsi="Verdana"/>
          <w:b/>
          <w:sz w:val="20"/>
          <w:szCs w:val="20"/>
        </w:rPr>
      </w:pPr>
      <w:r>
        <w:rPr>
          <w:rFonts w:ascii="Verdana" w:hAnsi="Verdana"/>
          <w:b/>
          <w:sz w:val="20"/>
          <w:szCs w:val="20"/>
        </w:rPr>
      </w:r>
    </w:p>
    <w:p>
      <w:pPr>
        <w:pStyle w:val="Normal"/>
        <w:shd w:fill="FFFFFF" w:val="clear"/>
        <w:spacing w:lineRule="auto" w:line="276" w:before="57" w:after="57"/>
        <w:ind w:left="0" w:right="0"/>
        <w:jc w:val="both"/>
        <w:rPr>
          <w:rFonts w:ascii="Verdana" w:hAnsi="Verdana"/>
          <w:sz w:val="20"/>
          <w:szCs w:val="20"/>
        </w:rPr>
      </w:pPr>
      <w:r>
        <w:rPr>
          <w:rFonts w:ascii="Verdana" w:hAnsi="Verdana"/>
          <w:b/>
          <w:sz w:val="20"/>
          <w:szCs w:val="20"/>
        </w:rPr>
        <w:t>3</w:t>
      </w:r>
      <w:r>
        <w:rPr>
          <w:rFonts w:ascii="Verdana" w:hAnsi="Verdana"/>
          <w:b/>
          <w:color w:val="000000"/>
          <w:sz w:val="20"/>
          <w:szCs w:val="20"/>
        </w:rPr>
        <w:t>. PREVISÃO NO PLANO DE CONTRATAÇÕES ANUAL</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3.1. </w:t>
      </w:r>
      <w:r>
        <w:rPr>
          <w:rFonts w:ascii="Verdana" w:hAnsi="Verdana"/>
          <w:sz w:val="20"/>
          <w:szCs w:val="20"/>
        </w:rPr>
        <w:t>A contratação pretendida tem consonância com o planejamento estratégico desta Instituição, uma vez que consta na sua programação orçamentária e financeira anual.</w:t>
      </w:r>
    </w:p>
    <w:p>
      <w:pPr>
        <w:pStyle w:val="Normal"/>
        <w:spacing w:lineRule="auto" w:line="276" w:before="57" w:after="57"/>
        <w:ind w:left="0" w:right="0"/>
        <w:jc w:val="both"/>
        <w:rPr>
          <w:rFonts w:ascii="Verdana" w:hAnsi="Verdana"/>
          <w:sz w:val="20"/>
          <w:szCs w:val="20"/>
        </w:rPr>
      </w:pPr>
      <w:r>
        <w:rPr>
          <w:rFonts w:ascii="Verdana" w:hAnsi="Verdana"/>
          <w:b/>
          <w:sz w:val="20"/>
          <w:szCs w:val="20"/>
          <w:shd w:fill="FFFFFF" w:val="clear"/>
        </w:rPr>
        <w:t>3.2.</w:t>
      </w:r>
      <w:r>
        <w:rPr>
          <w:rFonts w:ascii="Verdana" w:hAnsi="Verdana"/>
          <w:sz w:val="20"/>
          <w:szCs w:val="20"/>
          <w:shd w:fill="FFFFFF" w:val="clear"/>
        </w:rPr>
        <w:t xml:space="preserve"> Foi produzido documento de formalização de demanda, sob o número </w:t>
      </w:r>
      <w:r>
        <w:rPr>
          <w:rFonts w:ascii="Verdana" w:hAnsi="Verdana"/>
          <w:b/>
          <w:bCs/>
          <w:sz w:val="20"/>
          <w:szCs w:val="20"/>
          <w:shd w:fill="FFFFFF" w:val="clear"/>
        </w:rPr>
        <w:t>44</w:t>
      </w:r>
      <w:r>
        <w:rPr>
          <w:rFonts w:ascii="Verdana" w:hAnsi="Verdana"/>
          <w:sz w:val="20"/>
          <w:szCs w:val="20"/>
          <w:shd w:fill="FFFFFF" w:val="clear"/>
        </w:rPr>
        <w:t xml:space="preserve">, que contempla a contratação de serviços de </w:t>
      </w:r>
      <w:r>
        <w:rPr>
          <w:rFonts w:ascii="Verdana" w:hAnsi="Verdana"/>
          <w:b/>
          <w:sz w:val="20"/>
          <w:szCs w:val="20"/>
          <w:shd w:fill="FFFFFF" w:val="clear"/>
        </w:rPr>
        <w:t>aquisição de gêneros alimentícios</w:t>
      </w:r>
      <w:r>
        <w:rPr>
          <w:rFonts w:ascii="Verdana" w:hAnsi="Verdana"/>
          <w:sz w:val="20"/>
          <w:szCs w:val="20"/>
          <w:shd w:fill="FFFFFF" w:val="clear"/>
        </w:rPr>
        <w:t>.</w:t>
      </w:r>
    </w:p>
    <w:p>
      <w:pPr>
        <w:pStyle w:val="Normal"/>
        <w:spacing w:lineRule="auto" w:line="276" w:before="57" w:after="57"/>
        <w:ind w:left="0" w:right="0"/>
        <w:jc w:val="both"/>
        <w:rPr>
          <w:rFonts w:ascii="Verdana" w:hAnsi="Verdana"/>
          <w:sz w:val="20"/>
          <w:szCs w:val="20"/>
        </w:rPr>
      </w:pPr>
      <w:r>
        <w:rPr>
          <w:rFonts w:ascii="Verdana" w:hAnsi="Verdana"/>
          <w:b/>
          <w:sz w:val="20"/>
          <w:szCs w:val="20"/>
          <w:shd w:fill="FFFFFF" w:val="clear"/>
        </w:rPr>
        <w:t xml:space="preserve">3.3. </w:t>
      </w:r>
      <w:r>
        <w:rPr>
          <w:rFonts w:ascii="Verdana" w:hAnsi="Verdana"/>
          <w:sz w:val="20"/>
          <w:szCs w:val="20"/>
          <w:shd w:fill="FFFFFF" w:val="clear"/>
        </w:rPr>
        <w:t>O contrato e/ou Ata de Registro de Preços advindos desta aquisição, poderão ser prorrogados conforme Lei. 14.133/2021, precedida de Pesquisa de Mercado, para comprovar o preço vantajoso.</w:t>
      </w:r>
    </w:p>
    <w:p>
      <w:pPr>
        <w:pStyle w:val="Normal"/>
        <w:spacing w:lineRule="auto" w:line="276" w:before="57" w:after="57"/>
        <w:ind w:left="0" w:right="0"/>
        <w:jc w:val="both"/>
        <w:rPr>
          <w:rFonts w:ascii="Verdana" w:hAnsi="Verdana"/>
          <w:b/>
          <w:sz w:val="20"/>
          <w:szCs w:val="20"/>
        </w:rPr>
      </w:pPr>
      <w:r>
        <w:rPr>
          <w:rFonts w:ascii="Verdana" w:hAnsi="Verdana"/>
          <w:b/>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4. DESCRIÇÃO DA NECESSIDADE</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4.1. </w:t>
      </w:r>
      <w:r>
        <w:rPr>
          <w:rFonts w:ascii="Verdana" w:hAnsi="Verdana"/>
          <w:sz w:val="20"/>
          <w:szCs w:val="20"/>
        </w:rPr>
        <w:t xml:space="preserve">Aquisição, </w:t>
      </w:r>
      <w:r>
        <w:rPr>
          <w:rFonts w:ascii="Verdana" w:hAnsi="Verdana"/>
          <w:b/>
          <w:sz w:val="20"/>
          <w:szCs w:val="20"/>
        </w:rPr>
        <w:t>por meio de pregão eletrônico</w:t>
      </w:r>
      <w:r>
        <w:rPr>
          <w:rFonts w:ascii="Verdana" w:hAnsi="Verdana"/>
          <w:sz w:val="20"/>
          <w:szCs w:val="20"/>
        </w:rPr>
        <w:t>, para aquisição de gêneros alimentícios para atender ao Programa Nacional de Alimentação Escolar.</w:t>
      </w:r>
    </w:p>
    <w:p>
      <w:pPr>
        <w:pStyle w:val="Normal"/>
        <w:spacing w:lineRule="auto" w:line="276" w:before="57" w:after="57"/>
        <w:ind w:left="0" w:right="0"/>
        <w:jc w:val="both"/>
        <w:rPr>
          <w:rFonts w:ascii="Verdana" w:hAnsi="Verdana"/>
          <w:sz w:val="20"/>
          <w:szCs w:val="20"/>
        </w:rPr>
      </w:pPr>
      <w:r>
        <w:rPr>
          <w:rFonts w:ascii="Verdana" w:hAnsi="Verdana"/>
          <w:b/>
          <w:sz w:val="20"/>
          <w:szCs w:val="20"/>
        </w:rPr>
        <w:t>4.2.</w:t>
      </w:r>
      <w:r>
        <w:rPr>
          <w:rFonts w:ascii="Verdana" w:hAnsi="Verdana"/>
          <w:sz w:val="20"/>
          <w:szCs w:val="20"/>
        </w:rPr>
        <w:t xml:space="preserve"> A quantidade foi estimada com base na demanda que será necessária para atender as Escolas, com levantamento realizado e informado pela Nutricionista Responsável Técnica do Programa Nacional de Alimentação Escolar no Município de São Gabriel da Palha;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4.3. </w:t>
      </w:r>
      <w:r>
        <w:rPr>
          <w:rFonts w:ascii="Verdana" w:hAnsi="Verdana"/>
          <w:sz w:val="20"/>
          <w:szCs w:val="20"/>
        </w:rPr>
        <w:t>Informamos</w:t>
      </w:r>
      <w:r>
        <w:rPr>
          <w:rFonts w:ascii="Verdana" w:hAnsi="Verdana"/>
          <w:b/>
          <w:sz w:val="20"/>
          <w:szCs w:val="20"/>
        </w:rPr>
        <w:t xml:space="preserve"> </w:t>
      </w:r>
      <w:r>
        <w:rPr>
          <w:rFonts w:ascii="Verdana" w:hAnsi="Verdana"/>
          <w:sz w:val="20"/>
          <w:szCs w:val="20"/>
        </w:rPr>
        <w:t>que as Escolas da Rede Municipal necessitam dos gêneros alimentícios, devido seu valor nutricional e sua importância perante o crescimento e desenvolvimento dos alunos atendidos pelo programa de Alimentação Escolar;</w:t>
      </w:r>
    </w:p>
    <w:p>
      <w:pPr>
        <w:pStyle w:val="Normal"/>
        <w:spacing w:lineRule="auto" w:line="276" w:before="57" w:after="57"/>
        <w:ind w:left="0" w:right="0"/>
        <w:jc w:val="both"/>
        <w:rPr>
          <w:rFonts w:ascii="Verdana" w:hAnsi="Verdana"/>
          <w:sz w:val="20"/>
          <w:szCs w:val="20"/>
        </w:rPr>
      </w:pPr>
      <w:r>
        <w:rPr>
          <w:rFonts w:ascii="Verdana" w:hAnsi="Verdana"/>
          <w:b/>
          <w:sz w:val="20"/>
          <w:szCs w:val="20"/>
        </w:rPr>
        <w:t>4.4.</w:t>
      </w:r>
      <w:r>
        <w:rPr>
          <w:rFonts w:ascii="Verdana" w:hAnsi="Verdana"/>
          <w:sz w:val="20"/>
          <w:szCs w:val="20"/>
        </w:rPr>
        <w:t xml:space="preserve"> Considerando que para manter um atendimento ao Programa Nacional de Alimentação Escolar durante o período letivo com fornecimento de gêneros perecíveis, conforme a discriminação dos itens, faz se necessária a aquisição.</w:t>
      </w:r>
    </w:p>
    <w:p>
      <w:pPr>
        <w:pStyle w:val="Normal"/>
        <w:spacing w:lineRule="auto" w:line="276" w:before="57" w:after="57"/>
        <w:ind w:left="0" w:right="0"/>
        <w:jc w:val="both"/>
        <w:rPr>
          <w:rFonts w:ascii="Verdana" w:hAnsi="Verdana"/>
          <w:sz w:val="20"/>
          <w:szCs w:val="20"/>
        </w:rPr>
      </w:pPr>
      <w:r>
        <w:rPr>
          <w:rFonts w:ascii="Verdana" w:hAnsi="Verdana"/>
          <w:b/>
          <w:sz w:val="20"/>
          <w:szCs w:val="20"/>
        </w:rPr>
        <w:t>4.5.</w:t>
      </w:r>
      <w:r>
        <w:rPr>
          <w:rFonts w:ascii="Verdana" w:hAnsi="Verdana"/>
          <w:sz w:val="20"/>
          <w:szCs w:val="20"/>
        </w:rPr>
        <w:t xml:space="preserve"> Diante da necessidade acima, iniciou-se o presente Estudo Técnico Preliminar por meio do qual será possível decidir qual é a melhor solução.</w:t>
      </w:r>
    </w:p>
    <w:p>
      <w:pPr>
        <w:pStyle w:val="Normal"/>
        <w:spacing w:lineRule="auto" w:line="276" w:before="57" w:after="57"/>
        <w:ind w:left="0" w:right="0"/>
        <w:jc w:val="both"/>
        <w:rPr>
          <w:rFonts w:ascii="Verdana" w:hAnsi="Verdana"/>
          <w:color w:val="000000"/>
          <w:sz w:val="20"/>
          <w:szCs w:val="20"/>
        </w:rPr>
      </w:pPr>
      <w:r>
        <w:rPr>
          <w:rFonts w:ascii="Verdana" w:hAnsi="Verdana"/>
          <w:color w:val="000000"/>
          <w:sz w:val="20"/>
          <w:szCs w:val="20"/>
        </w:rPr>
      </w:r>
    </w:p>
    <w:p>
      <w:pPr>
        <w:pStyle w:val="Normal"/>
        <w:spacing w:lineRule="auto" w:line="276" w:before="57" w:after="57"/>
        <w:ind w:left="0" w:right="0"/>
        <w:rPr>
          <w:rFonts w:ascii="Verdana" w:hAnsi="Verdana"/>
          <w:sz w:val="20"/>
          <w:szCs w:val="20"/>
        </w:rPr>
      </w:pPr>
      <w:r>
        <w:rPr>
          <w:rFonts w:ascii="Verdana" w:hAnsi="Verdana"/>
          <w:b/>
          <w:sz w:val="20"/>
          <w:szCs w:val="20"/>
        </w:rPr>
        <w:t>5. ÁREA REQUISITANTE</w:t>
      </w:r>
    </w:p>
    <w:p>
      <w:pPr>
        <w:pStyle w:val="Normal"/>
        <w:spacing w:lineRule="auto" w:line="276" w:before="57" w:after="57"/>
        <w:ind w:left="0" w:right="0"/>
        <w:rPr>
          <w:rFonts w:ascii="Verdana" w:hAnsi="Verdana"/>
          <w:sz w:val="20"/>
          <w:szCs w:val="20"/>
        </w:rPr>
      </w:pPr>
      <w:r>
        <w:rPr>
          <w:rFonts w:ascii="Verdana" w:hAnsi="Verdana"/>
          <w:sz w:val="20"/>
          <w:szCs w:val="20"/>
        </w:rPr>
        <w:t xml:space="preserve">Secretaria Municipal de </w:t>
      </w:r>
      <w:r>
        <w:rPr>
          <w:rFonts w:ascii="Verdana" w:hAnsi="Verdana"/>
          <w:color w:val="000000"/>
          <w:sz w:val="20"/>
          <w:szCs w:val="20"/>
        </w:rPr>
        <w:t>Administração</w:t>
      </w:r>
    </w:p>
    <w:p>
      <w:pPr>
        <w:pStyle w:val="Normal"/>
        <w:spacing w:lineRule="auto" w:line="276" w:before="57" w:after="57"/>
        <w:ind w:left="0" w:right="0"/>
        <w:rPr>
          <w:rFonts w:ascii="Verdana" w:hAnsi="Verdana"/>
          <w:sz w:val="20"/>
          <w:szCs w:val="20"/>
        </w:rPr>
      </w:pPr>
      <w:r>
        <w:rPr>
          <w:rFonts w:ascii="Verdana" w:hAnsi="Verdana"/>
          <w:i/>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6.</w:t>
      </w:r>
      <w:r>
        <w:rPr>
          <w:rFonts w:ascii="Verdana" w:hAnsi="Verdana"/>
          <w:b/>
          <w:sz w:val="20"/>
          <w:szCs w:val="20"/>
          <w:shd w:fill="FFFFFF" w:val="clear"/>
        </w:rPr>
        <w:t xml:space="preserve"> DESCRIÇÃO DOS REQUISITOS DA CONTRATAÇÃO</w:t>
      </w:r>
    </w:p>
    <w:p>
      <w:pPr>
        <w:pStyle w:val="Normal"/>
        <w:spacing w:lineRule="auto" w:line="276" w:before="57" w:after="57"/>
        <w:ind w:left="0" w:right="0"/>
        <w:jc w:val="both"/>
        <w:rPr>
          <w:rFonts w:ascii="Verdana" w:hAnsi="Verdana"/>
          <w:sz w:val="20"/>
          <w:szCs w:val="20"/>
        </w:rPr>
      </w:pPr>
      <w:r>
        <w:rPr>
          <w:rFonts w:ascii="Verdana" w:hAnsi="Verdana"/>
          <w:b/>
          <w:sz w:val="20"/>
          <w:szCs w:val="20"/>
        </w:rPr>
        <w:t>6.1 Fornecimento de gêneros alimentícios em atendimento ao PNAE - Programa Nacional de Alimentação Escolar</w:t>
      </w:r>
      <w:r>
        <w:rPr>
          <w:rFonts w:ascii="Verdana" w:hAnsi="Verdana"/>
          <w:sz w:val="20"/>
          <w:szCs w:val="20"/>
        </w:rPr>
        <w:t>, para as Unidades escolares vinculadas à Secretaria de Educação. A CONTRATADA deve:</w:t>
      </w:r>
    </w:p>
    <w:p>
      <w:pPr>
        <w:pStyle w:val="Normal"/>
        <w:tabs>
          <w:tab w:val="clear" w:pos="720"/>
          <w:tab w:val="left" w:pos="3390" w:leader="none"/>
          <w:tab w:val="center" w:pos="5032" w:leader="none"/>
        </w:tabs>
        <w:spacing w:lineRule="auto" w:line="276" w:before="57" w:after="57"/>
        <w:ind w:left="0" w:right="0"/>
        <w:jc w:val="both"/>
        <w:rPr>
          <w:rFonts w:ascii="Verdana" w:hAnsi="Verdana"/>
          <w:sz w:val="20"/>
          <w:szCs w:val="20"/>
        </w:rPr>
      </w:pPr>
      <w:r>
        <w:rPr>
          <w:rFonts w:ascii="Verdana" w:hAnsi="Verdana"/>
          <w:b/>
          <w:sz w:val="20"/>
          <w:szCs w:val="20"/>
        </w:rPr>
        <w:t>a)</w:t>
      </w:r>
      <w:r>
        <w:rPr>
          <w:rFonts w:ascii="Verdana" w:hAnsi="Verdana"/>
          <w:sz w:val="20"/>
          <w:szCs w:val="20"/>
        </w:rPr>
        <w:t xml:space="preserve"> Nos preços apresentados deverão estar incluídas todas as despesas com mão de obra, encargos trabalhistas, previdenciários, fiscais, comerciais, despesas e obrigações financeiras de qualquer natureza e outras despesas, diretas e indiretas, inclusive lucro, necessários à perfeita execução do contrato;</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b) </w:t>
      </w:r>
      <w:r>
        <w:rPr>
          <w:rFonts w:ascii="Verdana" w:hAnsi="Verdana"/>
          <w:sz w:val="20"/>
          <w:szCs w:val="20"/>
        </w:rPr>
        <w:t>Os insumos necessários às embalagens e para as entregas serão fornecidos pela contratada.</w:t>
      </w:r>
    </w:p>
    <w:p>
      <w:pPr>
        <w:pStyle w:val="Normal"/>
        <w:spacing w:lineRule="auto" w:line="276" w:before="57" w:after="57"/>
        <w:ind w:left="0" w:right="0"/>
        <w:jc w:val="both"/>
        <w:rPr>
          <w:rFonts w:ascii="Verdana" w:hAnsi="Verdana"/>
          <w:sz w:val="20"/>
          <w:szCs w:val="20"/>
        </w:rPr>
      </w:pPr>
      <w:r>
        <w:rPr>
          <w:rFonts w:ascii="Verdana" w:hAnsi="Verdana"/>
          <w:b/>
          <w:sz w:val="20"/>
          <w:szCs w:val="20"/>
          <w:shd w:fill="FFFFFF" w:val="clear"/>
        </w:rPr>
        <w:t>c)</w:t>
      </w:r>
      <w:r>
        <w:rPr>
          <w:rFonts w:ascii="Verdana" w:hAnsi="Verdana"/>
          <w:sz w:val="20"/>
          <w:szCs w:val="20"/>
          <w:shd w:fill="FFFFFF" w:val="clear"/>
        </w:rPr>
        <w:t xml:space="preserve"> A contratada deverá cumprir com as entregas de acordo com o cronograma com as datas e quantidades anexado ao contrato. </w:t>
      </w:r>
    </w:p>
    <w:p>
      <w:pPr>
        <w:pStyle w:val="Normal"/>
        <w:spacing w:lineRule="auto" w:line="276" w:before="57" w:after="57"/>
        <w:ind w:left="0" w:right="0"/>
        <w:jc w:val="both"/>
        <w:rPr>
          <w:rFonts w:ascii="Verdana" w:hAnsi="Verdana"/>
          <w:sz w:val="20"/>
          <w:szCs w:val="20"/>
        </w:rPr>
      </w:pPr>
      <w:r>
        <w:rPr>
          <w:rFonts w:ascii="Verdana" w:hAnsi="Verdana"/>
          <w:b/>
          <w:sz w:val="20"/>
          <w:szCs w:val="20"/>
        </w:rPr>
        <w:t>6.2 Da qualificação técnica.</w:t>
      </w:r>
    </w:p>
    <w:p>
      <w:pPr>
        <w:pStyle w:val="Normal"/>
        <w:spacing w:lineRule="auto" w:line="276" w:before="57" w:after="57"/>
        <w:ind w:left="0" w:right="0"/>
        <w:jc w:val="both"/>
        <w:rPr>
          <w:rFonts w:ascii="Verdana" w:hAnsi="Verdana"/>
          <w:sz w:val="20"/>
          <w:szCs w:val="20"/>
        </w:rPr>
      </w:pPr>
      <w:r>
        <w:rPr>
          <w:rFonts w:ascii="Verdana" w:hAnsi="Verdana"/>
          <w:b/>
          <w:sz w:val="20"/>
          <w:szCs w:val="20"/>
        </w:rPr>
        <w:t>6.2.1.</w:t>
      </w:r>
      <w:r>
        <w:rPr>
          <w:rFonts w:ascii="Verdana" w:hAnsi="Verdana"/>
          <w:sz w:val="20"/>
          <w:szCs w:val="20"/>
        </w:rPr>
        <w:t xml:space="preserve"> Comprovação de aptidão para desempenho de atividade pertinente e compatível com o objeto desta licitação, mediante apresentação de atestado de capacidade técnica, expedido por pessoa jurídica de direito público ou privado, compatíveis com o objeto desta licitação, devidamente assinado pela pessoa responsável.</w:t>
      </w:r>
    </w:p>
    <w:p>
      <w:pPr>
        <w:pStyle w:val="Normal"/>
        <w:spacing w:lineRule="auto" w:line="276" w:before="57" w:after="57"/>
        <w:ind w:left="0" w:right="0"/>
        <w:jc w:val="both"/>
        <w:rPr>
          <w:rFonts w:ascii="Verdana" w:hAnsi="Verdana"/>
          <w:sz w:val="20"/>
          <w:szCs w:val="20"/>
        </w:rPr>
      </w:pPr>
      <w:r>
        <w:rPr>
          <w:rFonts w:ascii="Verdana" w:hAnsi="Verdana"/>
          <w:b/>
          <w:sz w:val="20"/>
          <w:szCs w:val="20"/>
        </w:rPr>
        <w:t>6.3. Dos requisitos temporais.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a) </w:t>
      </w:r>
      <w:r>
        <w:rPr>
          <w:rFonts w:ascii="Verdana" w:hAnsi="Verdana"/>
          <w:sz w:val="20"/>
          <w:szCs w:val="20"/>
          <w:shd w:fill="FFFFFF" w:val="clear"/>
        </w:rPr>
        <w:t xml:space="preserve">A contratada deverá cumprir com as entregas de acordo com o cronograma anexado aos autos com as datas estipuladas e quantidades, que deverá ser anexado ao contrato, com duração de </w:t>
      </w:r>
      <w:r>
        <w:rPr>
          <w:rFonts w:ascii="Verdana" w:hAnsi="Verdana"/>
          <w:b/>
          <w:bCs/>
          <w:sz w:val="20"/>
          <w:szCs w:val="20"/>
          <w:shd w:fill="FFFFFF" w:val="clear"/>
        </w:rPr>
        <w:t>oito entregas</w:t>
      </w:r>
      <w:r>
        <w:rPr>
          <w:rFonts w:ascii="Verdana" w:hAnsi="Verdana"/>
          <w:sz w:val="20"/>
          <w:szCs w:val="20"/>
          <w:shd w:fill="FFFFFF" w:val="clear"/>
        </w:rPr>
        <w:t xml:space="preserve">, uma por mês, de acordo com levantamento e em respeito ao cardápio escolar realizado pela nutricionista. </w:t>
      </w:r>
    </w:p>
    <w:p>
      <w:pPr>
        <w:pStyle w:val="Normal"/>
        <w:spacing w:lineRule="auto" w:line="276" w:before="57" w:after="57"/>
        <w:ind w:left="0" w:right="0"/>
        <w:jc w:val="both"/>
        <w:rPr>
          <w:rFonts w:ascii="Verdana" w:hAnsi="Verdana"/>
          <w:sz w:val="20"/>
          <w:szCs w:val="20"/>
        </w:rPr>
      </w:pPr>
      <w:r>
        <w:rPr/>
      </w:r>
    </w:p>
    <w:p>
      <w:pPr>
        <w:pStyle w:val="Normal"/>
        <w:spacing w:lineRule="auto" w:line="276" w:before="57" w:after="57"/>
        <w:ind w:left="0" w:right="0"/>
        <w:jc w:val="both"/>
        <w:rPr>
          <w:rFonts w:ascii="Verdana" w:hAnsi="Verdana"/>
          <w:sz w:val="20"/>
          <w:szCs w:val="20"/>
        </w:rPr>
      </w:pPr>
      <w:r>
        <w:rPr>
          <w:rFonts w:ascii="Verdana" w:hAnsi="Verdana"/>
          <w:b/>
          <w:sz w:val="20"/>
          <w:szCs w:val="20"/>
        </w:rPr>
        <w:t>7. ESTIMATIVA DA QUANTIDADE.</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7.1. </w:t>
      </w:r>
      <w:r>
        <w:rPr>
          <w:rFonts w:ascii="Verdana" w:hAnsi="Verdana"/>
          <w:sz w:val="20"/>
          <w:szCs w:val="20"/>
        </w:rPr>
        <w:t>A relação dos itens necessários para contemplar a solução, bem como a estimativa da quantidade a ser contratada é apresentada na tabela a seguir</w:t>
      </w:r>
      <w:r>
        <w:rPr>
          <w:rFonts w:ascii="Verdana" w:hAnsi="Verdana"/>
          <w:color w:val="000000"/>
          <w:sz w:val="20"/>
          <w:szCs w:val="20"/>
        </w:rPr>
        <w:t>.</w:t>
      </w:r>
    </w:p>
    <w:p>
      <w:pPr>
        <w:pStyle w:val="Normal"/>
        <w:spacing w:lineRule="auto" w:line="276" w:before="57" w:after="57"/>
        <w:ind w:left="0" w:right="0"/>
        <w:jc w:val="both"/>
        <w:rPr>
          <w:rFonts w:ascii="Verdana" w:hAnsi="Verdana" w:eastAsia="Arial" w:cs="Arial"/>
          <w:sz w:val="20"/>
          <w:szCs w:val="20"/>
        </w:rPr>
      </w:pPr>
      <w:r>
        <w:rPr>
          <w:rFonts w:eastAsia="Arial" w:cs="Arial" w:ascii="Verdana" w:hAnsi="Verdana"/>
          <w:sz w:val="20"/>
          <w:szCs w:val="20"/>
        </w:rPr>
      </w:r>
    </w:p>
    <w:tbl>
      <w:tblPr>
        <w:tblpPr w:vertAnchor="text" w:horzAnchor="text" w:leftFromText="141" w:rightFromText="141" w:tblpX="0" w:tblpY="0"/>
        <w:tblW w:w="9715" w:type="dxa"/>
        <w:jc w:val="left"/>
        <w:tblInd w:w="41" w:type="dxa"/>
        <w:tblLayout w:type="fixed"/>
        <w:tblCellMar>
          <w:top w:w="0" w:type="dxa"/>
          <w:left w:w="108" w:type="dxa"/>
          <w:bottom w:w="0" w:type="dxa"/>
          <w:right w:w="108" w:type="dxa"/>
        </w:tblCellMar>
      </w:tblPr>
      <w:tblGrid>
        <w:gridCol w:w="508"/>
        <w:gridCol w:w="4327"/>
        <w:gridCol w:w="1050"/>
        <w:gridCol w:w="1950"/>
        <w:gridCol w:w="1880"/>
      </w:tblGrid>
      <w:tr>
        <w:trPr>
          <w:trHeight w:val="681"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b/>
                <w:sz w:val="16"/>
                <w:szCs w:val="16"/>
              </w:rPr>
            </w:pPr>
            <w:r>
              <w:rPr>
                <w:rFonts w:eastAsia="Arial" w:cs="Arial" w:ascii="Arial" w:hAnsi="Arial"/>
                <w:b/>
                <w:sz w:val="16"/>
                <w:szCs w:val="16"/>
              </w:rPr>
              <w:t>Item</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b/>
                <w:sz w:val="16"/>
                <w:szCs w:val="16"/>
              </w:rPr>
              <w:t>DESCRIÇÃO</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b/>
                <w:sz w:val="16"/>
                <w:szCs w:val="16"/>
              </w:rPr>
              <w:t>QTDE</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ind w:left="80"/>
              <w:jc w:val="center"/>
              <w:rPr>
                <w:rFonts w:ascii="Arial" w:hAnsi="Arial" w:eastAsia="Arial" w:cs="Arial"/>
                <w:b/>
                <w:sz w:val="16"/>
                <w:szCs w:val="16"/>
              </w:rPr>
            </w:pPr>
            <w:r>
              <w:rPr>
                <w:rFonts w:eastAsia="Arial" w:cs="Arial" w:ascii="Arial" w:hAnsi="Arial"/>
                <w:b/>
                <w:sz w:val="16"/>
                <w:szCs w:val="16"/>
              </w:rPr>
              <w:t>Preço Unitário Estimativo</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b/>
                <w:sz w:val="16"/>
                <w:szCs w:val="16"/>
              </w:rPr>
            </w:pPr>
            <w:r>
              <w:rPr>
                <w:rFonts w:eastAsia="Arial" w:cs="Arial" w:ascii="Arial" w:hAnsi="Arial"/>
                <w:b/>
                <w:sz w:val="16"/>
                <w:szCs w:val="16"/>
              </w:rPr>
              <w:t>Preço Total Estimado</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01</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OVOS DE GALINHA - TIPO: BRANCO EXTRA; CLASSE A; FRESCOS DE CASCA POROSA, FOSCA, SECA E LIMPA, ÍNTEGRO, SEM MANCHAS E RACHADURAS; VALIDADE: MÍNIMO DE 15 DIAS A PARTIR DA DATA DE ENTREGA; LEGISLAÇÃO: CONFORME RESOLUÇÃO DO MINISTÉRIO DA AGRICULTURA Nº 1 DE 05/07/1991; ACONDICIONAMENTO: BANDEJA DE PAPELÃO; UNIDADE DE FORNECIMENTO: PENTE 30 UND.</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1475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15,94</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23.511,5</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02</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CEBOLA - COR: BRANCA; APRESENTAÇÃO: IN NATURA; GRAU DE EVOLUÇÃO: BEM DESENVOLVIDA; QUALIDADE: DE 1ª QUALIDADE; CARACTERÍSTICAS FÍSICAS: TAMANHO, COLORAÇÃO UNIFORME, FIRME E INTACTO; ASPECTO: COR, CHEIRO E SABOR PRÓPRIO; HIGIÊNICO SANITÁRIAS: ISENTOS DE SUJIDADES, PARASITAS E LARVAS; DANIFICAÇÃO: SEM DANOS FÍSICOS ORIUNDOS DO MANUSEIO E TRANSPORTE; LEGISLAÇÃO: CONFORME PORTARIA CVS 06/99, DE 10/03/1999, CONFORME RESOLUÇÃO RDC272, DE 22/09/2005, DA ANVISA E SUAS ALTERAÇÕES POSTERIORES; ACONDICIONAMENTO: EMBALAGEM PLÁSTICA ATÓXICA COM ATÉ 2KG.</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1450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2,98</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4.321,00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03</w:t>
            </w:r>
          </w:p>
          <w:p>
            <w:pPr>
              <w:pStyle w:val="Normal"/>
              <w:spacing w:lineRule="auto" w:line="360"/>
              <w:jc w:val="center"/>
              <w:rPr>
                <w:rFonts w:ascii="Arial" w:hAnsi="Arial" w:eastAsia="Arial" w:cs="Arial"/>
                <w:sz w:val="16"/>
                <w:szCs w:val="16"/>
                <w:shd w:fill="FFFF00" w:val="clear"/>
              </w:rPr>
            </w:pPr>
            <w:r>
              <w:rPr>
                <w:rFonts w:eastAsia="Arial" w:cs="Arial" w:ascii="Arial" w:hAnsi="Arial"/>
                <w:sz w:val="16"/>
                <w:szCs w:val="16"/>
                <w:shd w:fill="FFFF00" w:val="clear"/>
              </w:rPr>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BATATA INGLESA VARIEDADE: INGLESA; COR DA CASCA: AMARELA-CLARA; COR DA POLPA: AMARELA-CLARA; MATURAÇÃO: SEMIPRECOCE A SEMITARDIA; LAVADA; TAMANHO MÉDIO A GRANDE; DE 1ª QUALIDADE; CARACTERÍSTICAS FÍSICAS: COLORAÇÃO UNIFORME, FIRME E INTACTO; HIGIÊNICO SANITÁRIAS: ISENTOS DE SUJIDADES, PARASITAS E LARVAS; DANIFICAÇÃO: SEM DANOS FÍSICOS ORIUNDOS DO MANUSEIO E TRANSPORTE; LEGISLAÇÃO: CONFORME RESOLUÇÃO RDC 272, DE 22/09/2005, DA ANVISA E SUAS ALTERAÇÕES POSTERIORES; ACONDICIONAMENTO: SACO VAZADO; UNIDADE DE FORNECIMENTO:  ATÉ 4KG</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1.506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3,47</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5.225,82</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04</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ALHO - TIPO: EXTRA, BRANCO OU ROXO; GRAU DE EVOLUÇÃO: BEM DESENVOLVIDO; QUALIDADE: DE 1ª QUALIDADE; CARACTERÍSTICAS FÍSICAS: TAMANHO, COLORAÇÃO UNIFORME, FIRME, CASCA SÃ, SEM RÉSTIA, BULBO INTERIÇO; ASPECTO: COR, CHEIRO E SABOR PRÓPRIO; HIGIÊNICO SANITÁRIAS: ISENTOS DE SUJIDADES, PARASITAS E LARVAS;   UNIDADE DE FORNECIMENTO: EMBALAGEM PLÁSTICA ATÓXICA COM ATÉ 2KG.</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1186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21,77</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25.819,22</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05</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CARNE DE FRANGO (FILÉ DE PEITO), SEM PELE E SEM OSSO, SEM TEMPERO, NÃO AMOLECIDA NEM PEGAJOSA, CONGELADA A -12°C; COM ASPECTO, ODOR E SABOR CARACTERÍSTICOS; ACONDICIONADA EM BANDEJAS DE ISOPOR E SACO PLÁSTICO ATÓXICO E RESISTENTE, PESANDO 1KG. CONSTANDO OBRIGATORIAMENTE REGISTRO NO SIF/DIPOA E TODAS AS INFORMAÇÕES DE ROTULAGEM; DATA DE FABRICAÇÃO E VALIDADE;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7510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20,49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153.879,90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06</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CARNE BOVINA DE PRIMEIRA (PATINHO), LIMPA, CONTENDO EM TORNO DE 4 A 5% NO MÁXIMO DE GORDURA; SEM APONEVROSE; CONSERVAÇÃO: CONGELADA (-12°C); ASPECTO: COR, CHEIRO E SABOR PRÓPRIO; HIGIÊNICO SANITÁRIA: ISENTOS DE SUJIDADES, PARASITAS E LARVAS; LEGISLAÇÃO: CONFORME LEI 6.925, DE 17/12/2001; CONTENDO REGISTRO DE INSPEÇÃO; UNIDADE DE FORNECIMENTO: PACOTE DE 1  A 2 KG.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4375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38,98</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170.537,50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07</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CARNE BOVINA MOÍDA - ACÉM BOVINO MOÍDO, LIMPO, MAGRO (MÁXIMO DE 10% DE GORDURA), SEM OSSO, CONGELADO, COM COR, SABOR E ODOR CARACTERÍSTICOS DO PRODUTO DE BOA QUALIDADE, AUSÊNCIA DE SEBOS, ACONDICIONADO EM EMBALAGENS TRANSPARENTE E RESISTENTE, COM DENOMINAÇÃO DO NOME DO PRODUTO, FABRICANTE, ENDEREÇO, REGISTRO NO MINISTÉRIO DA AGRICULTURA (SIF, IMA OU SIM), DATA DE FABRICAÇÃO E VALIDADE.  UNIDADE DE FORNECIMENTO: PACOTE DE 1KG.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6100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19,00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59.413,00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08</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POLPA DE FRUTA NATURAL, SABOR: MANGA, CONGELADA A - 18ºC. ISENTA DE CONTAMINAÇÃO COM SUBSTÂNCIAS ESTRANHAS A SUA COMPOSIÇÃO NORMAL, SEM FRAGMENTOS DAS PARTES NÃO COMESTÍVEIS DA FRUTA. EM EMBALAGEM DE 1KG COM IDENTIFICAÇÃO DO PRODUTO, MARCA DO FABRICANTE, DATA DE FABRICAÇÃO E PRAZO DE VALIDADE, DE ACORDO COM A RESOLUÇÃO 12/78 DA CNNPA. O PRODUTO DEVERÁ TER REGISTRO NO MINISTÉRIO DA AGRICULTURA E/OU MINISTÉRIO DA SAÚDE. VALIDADE MÍNIMA DE 06 MESES APÓS A ENTREGA.1530</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1866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8,04</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15.002,64</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09</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POLPA DE FRUTA NATURAL, SABOR: GOIABA, CONGELADA A - 18ºC. ISENTA DE CONTAMINAÇÃO COM SUBSTANCIAS ESTRANHAS A SUA COMPOSIÇÃO NORMAL, SEM FRAGMENTOS DAS PARTES NÃO COMESTÍVEIS DA FRUTA. EM EMBALAGEM DE 1KG COM IDENTIFICAÇÃO DO PRODUTO, MARCA DO FABRICANTE, DATA DE FABRICAÇÃO E PRAZO DE VALIDADE, DE ACORDO COM A RESOLUÇÃO 12/78 DA CNNPA. O PRODUTO DEVERÁ TER REGISTRO NO MINISTÉRIO DA AGRICULTURA E/OU MINISTÉRIO DA SAÚDE.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1872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6,58</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12.317,76</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10</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REQUEIJÃO CREMOSO DE BOA QUALIDADE, ISENTO DE RANÇO E OUTRAS CARACTERÍSTICAS INDESEJAVEIS; TEXTURA CREMOSA, COR, CHEIRO E SABOR CARACTERÍSTICOS.O PRODUTO DEVE SER CLASSIFICADO COMO PROCESSADO E NÃO ULTRAPROCESSADO; NÃO DEVE CONTER MAIS DE 165MG DE SÓDIO POR PORÇÃO. O PRODUTO DEVERÁ ESTAR DE ACORDO COM A PORTARIA Nº359 DE 04/09/1997 DO MAPA E RESOLUÇÃO FNDE Nº 26 DE 17/06/13. CONSTANDO OBRIGATORIAMENTE REGISTRO NO SIF/DIPOA. DEVERÁ SER TRANSPORTADO E ENTREGUE À TEMPERATURA ENTRE 04 E 10°C. EMBALAGEM PRIMÁRIA: COPO PLÁSTICO DE POLIPROPILENO, ATÓXICO, COM LACRE DE PROTEÇÃO DE ALUMÍNIO, CONTENDO NO MÍNIMO 400 GRAMAS.  VALIDADE MÍNIMA DE 3 MESES APÓS A ENTREGA. LEITE PARCIALMENTE DESNATADO, CREME DE LEITE  PASTEURIZADO, AMIDO MODIFICADO E PROTEÍNAS LÁCTEAS, CLORETO DE SÓDIO (SAL), FERMENTO LÁCTEO, ESTABILIZANTE CITRATO DE SÓDIO  E FOSFATO DE SÓDIO E CONSERVANTE SORBATO DE POTÁSSIO.</w:t>
            </w:r>
          </w:p>
          <w:p>
            <w:pPr>
              <w:pStyle w:val="Normal"/>
              <w:jc w:val="both"/>
              <w:rPr>
                <w:rFonts w:ascii="Arial" w:hAnsi="Arial" w:eastAsia="Arial" w:cs="Arial"/>
                <w:sz w:val="18"/>
                <w:szCs w:val="18"/>
              </w:rPr>
            </w:pPr>
            <w:r>
              <w:rPr>
                <w:rFonts w:eastAsia="Arial" w:cs="Arial" w:ascii="Arial" w:hAnsi="Arial"/>
                <w:sz w:val="18"/>
                <w:szCs w:val="18"/>
              </w:rPr>
            </w:r>
          </w:p>
          <w:p>
            <w:pPr>
              <w:pStyle w:val="Normal"/>
              <w:jc w:val="both"/>
              <w:rPr>
                <w:rFonts w:ascii="Arial" w:hAnsi="Arial" w:eastAsia="Arial" w:cs="Arial"/>
                <w:sz w:val="18"/>
                <w:szCs w:val="18"/>
              </w:rPr>
            </w:pPr>
            <w:r>
              <w:rPr>
                <w:rFonts w:eastAsia="Arial" w:cs="Arial" w:ascii="Arial" w:hAnsi="Arial"/>
                <w:sz w:val="18"/>
                <w:szCs w:val="18"/>
              </w:rPr>
              <w:t>MARCAS PARA REFERÊNCIA DE QUALIDADE: DAMARE, PORTO ALEGRE, VIGOR OU SIMILARES.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1624 Potes</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12,39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20.121,36</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11</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LEITE EM PÓ SEM LACTOSE, COMPOSTO POR: LEITE INTEGRAL, ENZIMA LACTASE, VITAMINAS A, C e D. EMULSIFICANTE LECITINA DE SOJA, ISENTO DE MALTODEXTRINA PARA DIETAS COM RESTRIÇÃO A LACTOSE, EMBALAGEM: PACOTE COM 300G, VALIDADE DE 06 MESES APÓS A DATA DE ENTREGA.</w:t>
            </w:r>
          </w:p>
          <w:p>
            <w:pPr>
              <w:pStyle w:val="Normal"/>
              <w:jc w:val="both"/>
              <w:rPr>
                <w:rFonts w:ascii="Arial" w:hAnsi="Arial" w:eastAsia="Arial" w:cs="Arial"/>
                <w:sz w:val="18"/>
                <w:szCs w:val="18"/>
              </w:rPr>
            </w:pPr>
            <w:r>
              <w:rPr>
                <w:rFonts w:eastAsia="Arial" w:cs="Arial" w:ascii="Arial" w:hAnsi="Arial"/>
                <w:sz w:val="18"/>
                <w:szCs w:val="18"/>
              </w:rPr>
            </w:r>
          </w:p>
          <w:p>
            <w:pPr>
              <w:pStyle w:val="Normal"/>
              <w:jc w:val="both"/>
              <w:rPr>
                <w:rFonts w:ascii="Arial" w:hAnsi="Arial" w:eastAsia="Arial" w:cs="Arial"/>
                <w:sz w:val="18"/>
                <w:szCs w:val="18"/>
              </w:rPr>
            </w:pPr>
            <w:r>
              <w:rPr>
                <w:rFonts w:eastAsia="Arial" w:cs="Arial" w:ascii="Arial" w:hAnsi="Arial"/>
                <w:sz w:val="18"/>
                <w:szCs w:val="18"/>
              </w:rPr>
              <w:t>MARCAS PARA REFERÊNCIA DE QUALIDADE:  ITAMBÉ, CAMPONESA, DANBY, PIRACANJUBA OU SIMILARES.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90 Uni</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17,41</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1.566,90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LEITE DE SOJA SEM LACTOSE COMPOSIÇÃO:</w:t>
            </w:r>
          </w:p>
          <w:p>
            <w:pPr>
              <w:pStyle w:val="Normal"/>
              <w:widowControl w:val="false"/>
              <w:jc w:val="both"/>
              <w:rPr>
                <w:rFonts w:ascii="Arial" w:hAnsi="Arial" w:eastAsia="Arial" w:cs="Arial"/>
                <w:sz w:val="18"/>
                <w:szCs w:val="18"/>
              </w:rPr>
            </w:pPr>
            <w:r>
              <w:rPr>
                <w:rFonts w:eastAsia="Arial" w:cs="Arial" w:ascii="Arial" w:hAnsi="Arial"/>
                <w:sz w:val="18"/>
                <w:szCs w:val="18"/>
              </w:rPr>
              <w:t>MISTURA À BASE DE PROTEÍNA ISOLADA DE SOJA (PROTEÍNA ISOLADA DE SOJA, ÓLEO DE PALMA, XAROPE DE MILHO, AÇÚCAR, FOSFATO DE CÁLCIO, CITRATO DE POTÁSSIO, FOSFATO DE POTÁSSIO DIBÁSICO, SAL, FOSFATO DE MAGNÉSIO, ÁCIDO ASCÓRBICO, ÓXIDO DE ZINCO, PIROFOSFATO FÉRRICO, PANTOTENATO DE CÁLCIO, RIBOFLAVINA, VITAMINA A, NIACINAMIDA, VITAMINA B6, MONONITRATO DE TIAMINA, IODETO DE POTÁSSIO, ÁCIDO FÓLICO, VITAMINA D, VITAMINA B12, EMULSIFICANTES LECITINA E MONO E DIGLICERÍDEOS DE ÁCIDOS GRAXOS, AROMATIZANTE E CORANTE NATURAL BETACAROTENO), AÇÚCAR, MALTODEXTRINA E AROMA IDÊNTICO AO NATURAL DE BAUNILHA. EMBALAGEM: LATA DE 300G.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90 Lata</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19,99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1.799,10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13</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LEITE EM PÓ INTEGRAL INSTANTÂNEO DE ÓTIMA QUALIDADE; SEM AÇÚCAR; INGREDIENTES: LEITE INTEGRAL EM PÓ E LECITINA DE SOJA; CHEIRO, SABOR E TEXTURA CARACTERÍSTICOS AGRADÁVEIS. EM ACORDO COM AS ESPECIFICAÇÕES TÉCNICAS DA PORTARIA 369/1997 DO MAPA. EMBALAGEM DE 400G, ATÓXICA, RESISTENTE, NÃO VIOLADA ORIGINAL DO FABRICANTE.VALIDADE MÍNIMA DE 8 MESES APÓS A ENTREGA.</w:t>
            </w:r>
          </w:p>
          <w:p>
            <w:pPr>
              <w:pStyle w:val="Normal"/>
              <w:widowControl w:val="false"/>
              <w:jc w:val="both"/>
              <w:rPr>
                <w:rFonts w:ascii="Arial" w:hAnsi="Arial" w:eastAsia="Arial" w:cs="Arial"/>
                <w:sz w:val="18"/>
                <w:szCs w:val="18"/>
              </w:rPr>
            </w:pPr>
            <w:r>
              <w:rPr>
                <w:rFonts w:eastAsia="Arial" w:cs="Arial" w:ascii="Arial" w:hAnsi="Arial"/>
                <w:sz w:val="18"/>
                <w:szCs w:val="18"/>
              </w:rPr>
            </w:r>
          </w:p>
          <w:p>
            <w:pPr>
              <w:pStyle w:val="Normal"/>
              <w:widowControl w:val="false"/>
              <w:jc w:val="both"/>
              <w:rPr>
                <w:rFonts w:ascii="Arial" w:hAnsi="Arial" w:eastAsia="Arial" w:cs="Arial"/>
                <w:sz w:val="18"/>
                <w:szCs w:val="18"/>
              </w:rPr>
            </w:pPr>
            <w:r>
              <w:rPr>
                <w:rFonts w:eastAsia="Arial" w:cs="Arial" w:ascii="Arial" w:hAnsi="Arial"/>
                <w:sz w:val="18"/>
                <w:szCs w:val="18"/>
              </w:rPr>
              <w:t>MARCAS PARA REFERÊNCIA DE QUALIDADE: CAMPONESA, ITAMBÉ, PIRACANJUBA OU SIMILAR.</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2700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13,50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36.450,00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CANJIQUINHA DE MILHO, FINO A MÉDIO, SUBPRODUTO DO GRÃO DE MILHO, ISENTO DE UMIDADE E FRAGMENTOS ESTRANHOS, EM EMBALAGEM DE POLIETILENO TRANSPARENTE ORIGINAL DO FABRICANTE EM PCT DE ATÉ 01KG. VALIDADE MÍNIMA DE 4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1000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2,84</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2.840,00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FERMENTO QUÍMICO EM PÓ ASPECTO, COR, CHEIRO E SABOR PRÓPRIOS. O PRODUTO DEVERÁ ESTAR EM CONFORMIDADE COM AS LEIS ESPECIFICAS VIGENTES. INGREDIENTES: AMIDO DE MILHO GENETICAMENTE MODIFICADO (ESPÉCIES DOADORAS: AGROBACTERIUM TUMEFACIENS, BACILLUS THURINGIENSIS, SPHINGOBIUM HERBICIDOROVANS, STREPTOMYCES VIRIDOCHROMOGENES E ZEA MAYS), BICARBONATO DE SÓDIO, FOSFATO MONOCALCICO E CARBONATO DE CÁLCIO. A ROTULAGEM DEVE CONTER NO MÍNIMO AS SEGUINTES INFORMAÇÕES: NOME E/OU MARCA, INGREDIENTES, DATA DE VALIDADE, LOTE. COM REGISTRO NO MINISTÉRIO DA AGRICULTURA – SIF. PARA MELHOR SEGURANÇA E CONSERVAÇÃO, ABAIXO DA TAMPA DA EMBALAGEM DEVE TER O LACRE E PROTEÇÃO DE PAPEL E ALUMÍNIO.  ACONDICIONADO EM EMBALAGEM DE 250G.  VALIDADE: MÍNIMO DE 6 MESES A PARTIR DA DATA DE ENTREGA.</w:t>
            </w:r>
          </w:p>
          <w:p>
            <w:pPr>
              <w:pStyle w:val="Normal"/>
              <w:widowControl w:val="false"/>
              <w:jc w:val="both"/>
              <w:rPr>
                <w:rFonts w:ascii="Arial" w:hAnsi="Arial" w:eastAsia="Arial" w:cs="Arial"/>
                <w:sz w:val="18"/>
                <w:szCs w:val="18"/>
              </w:rPr>
            </w:pPr>
            <w:r>
              <w:rPr>
                <w:rFonts w:eastAsia="Arial" w:cs="Arial" w:ascii="Arial" w:hAnsi="Arial"/>
                <w:sz w:val="18"/>
                <w:szCs w:val="18"/>
              </w:rPr>
            </w:r>
          </w:p>
          <w:p>
            <w:pPr>
              <w:pStyle w:val="Normal"/>
              <w:widowControl w:val="false"/>
              <w:jc w:val="both"/>
              <w:rPr>
                <w:rFonts w:ascii="Arial" w:hAnsi="Arial" w:eastAsia="Arial" w:cs="Arial"/>
                <w:sz w:val="18"/>
                <w:szCs w:val="18"/>
              </w:rPr>
            </w:pPr>
            <w:r>
              <w:rPr>
                <w:rFonts w:eastAsia="Arial" w:cs="Arial" w:ascii="Arial" w:hAnsi="Arial"/>
                <w:sz w:val="18"/>
                <w:szCs w:val="18"/>
              </w:rPr>
              <w:t>MARCAS PARA REFERÊNCIA DE QUALIDADE: ROYAL, FREISCHMAN E OU SIMILARES.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UN</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9,99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2.997,00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16</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FERMENTO BIOLÓGICO SECO, INSTANTÂNEO, OBTIDO DE CULTURAS PURAS DE LEVEDURA SACCHAROMYCES CEREVISIAS, ISENTO DE SUBSTÂNCIAS ESTRANHAS À COMPOSIÇÃO; CARACTERÍSTICAS ORGANOLETICAS: ASPECTO – PRÓPRIO; COR - PRÓPRIA; CHEIRO – PRÓPRIO; SABOR - PRÓPRIO. O PRODUTO DEVERÁ ESTAR EM CONFORMIDADE COM AS LEIS ESPECIFICAS VIGENTES. ACONDICIONADO EM EMBALAGEM DE 500G. VALIDADE MÍNIMA DE 6 MESES APÓS A ENTREGA.</w:t>
            </w:r>
          </w:p>
          <w:p>
            <w:pPr>
              <w:pStyle w:val="Normal"/>
              <w:widowControl w:val="false"/>
              <w:jc w:val="both"/>
              <w:rPr>
                <w:rFonts w:ascii="Arial" w:hAnsi="Arial" w:eastAsia="Arial" w:cs="Arial"/>
                <w:sz w:val="18"/>
                <w:szCs w:val="18"/>
              </w:rPr>
            </w:pPr>
            <w:r>
              <w:rPr>
                <w:rFonts w:eastAsia="Arial" w:cs="Arial" w:ascii="Arial" w:hAnsi="Arial"/>
                <w:sz w:val="18"/>
                <w:szCs w:val="18"/>
              </w:rPr>
            </w:r>
          </w:p>
          <w:p>
            <w:pPr>
              <w:pStyle w:val="Normal"/>
              <w:widowControl w:val="false"/>
              <w:jc w:val="both"/>
              <w:rPr>
                <w:rFonts w:ascii="Arial" w:hAnsi="Arial" w:eastAsia="Arial" w:cs="Arial"/>
                <w:sz w:val="18"/>
                <w:szCs w:val="18"/>
              </w:rPr>
            </w:pPr>
            <w:r>
              <w:rPr>
                <w:rFonts w:eastAsia="Arial" w:cs="Arial" w:ascii="Arial" w:hAnsi="Arial"/>
                <w:sz w:val="18"/>
                <w:szCs w:val="18"/>
              </w:rPr>
              <w:t>MARCAS PARA REFERÊNCIA DE QUALIDADE: FREISCHMAN, MAURI E DONA BENTA E OU SIMILARES.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120 UN</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17.94</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2.152,80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17</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MACARRÃO TIPO: ESPAGUETE; COM SÊMOLA; ISENTO FRAGMENTOS ESTRANHOS, LIVRE DE UMIDADE; ACONDICIONAMENTO: EMBALAGEM PLÁSTICA ORIGINAL DE 1KG. LEGISLAÇÃO: CONFORME RESOLUÇÃO RDC N 263, DE 22/09/2005;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2800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4,95</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13.860,00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w:t>
            </w:r>
          </w:p>
        </w:tc>
        <w:tc>
          <w:tcPr>
            <w:tcW w:w="4327" w:type="dxa"/>
            <w:tcBorders>
              <w:top w:val="single" w:sz="8" w:space="0" w:color="000000"/>
              <w:left w:val="single" w:sz="8" w:space="0" w:color="000000"/>
              <w:bottom w:val="single" w:sz="8" w:space="0" w:color="000000"/>
              <w:right w:val="single" w:sz="8" w:space="0" w:color="000000"/>
            </w:tcBorders>
            <w:shd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MACARRÃO LETRINHA; COM OVOS; ISENTO FRAGMENTOS ESTRANHOS, LIVRE DE UMIDADE; ACONDICIONAMENTO: EMBALAGEM PLÁSTICA ORIGINAL DE 500G. LEGISLAÇÃO: CONFORME RESOLUÇÃO RDC N 263, DE 22/09/2005;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200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5,49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1.098,00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19</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MACARRÃO TIPO PARAFUSO - ZERO GLÚTEN; COM ASPECTO, COR, ODOR E SABOR CARACTERÍSTICOS. ISENTO FRAGMENTOS ESTRANHOS, LIVRE DE UMIDADE; ACONDICIONAMENTO: EMBALAGEM PLÁSTICA ORIGINAL DE 500G. LEGISLAÇÃO: CONFORME RESOLUÇÃO RDC N 263, DE 22/09/2005;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6,52</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912,80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20</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CONDIMENTO COLORÍFICO COLORAU FINO, HOMOGÊNEO, OBTIDO DE FRUTOS MADUROS DE URUCUM, LIMPOS, DESSECADOS E MOÍDOS, DE COLORAÇÃO AVERMELHADA, COM ASPECTO, COR, CHEIRO E SABOR PRÓPRIO; ISENTO DE MATERIAIS ESTRANHOS, ACONDICIONADO EM EMBALAGEM ORIGINAL COM 500G.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640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3,78</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2.419,20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21</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BISCOITO SALGADO TIPO CREAM CRACKER TEXTURA CROCANTE; COM ODOR, SABOR E COR CARACTERÍSTICOS; ISENTO DE PARASITAS E MATERIAIS ESTRANHOS. EMBALAGEM PRIMÁRIA PLÁSTICA DE 400G.  VALIDADE MÍNIMA DE 06 MESES APÓS A ENTREGA. ZERO GORDURA TRANS.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760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3,60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2.736,00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22</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BISCOITO DE POLVILHO SALGADO DE 100 GRAMAS SEM GLÚTEN, SEM LACTOSE, SEM LEITE E DERIVADOS, LEVE E CROCANTE, EMBALAGEM PLÁSTICA, ATÓXICA, RESISTENTE, NÃO VIOLADA, APRESENTANDO DADOS DO PRODUTO, IDENTIFICAÇÃO, PROCEDÊNCIA, INGREDIENTES, INFORMAÇÃO NUTRICIONAL, LOTE, GRAMATURA, DATA DE FABRICAÇÃO E VALIDADE, CONTENDO OS SEGUINTES INGREDIENTES: POLVILHO, GORDURA VEGETAL, OVOS E SAL, EMBALAGEM DE 100 GRAMAS.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2400 UN</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3,10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7.440,00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23</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BISCOITO DOCE TIPO ROSQUINHA SABOR COCO, SEM LACTOSE E SEM GLÚTEN. TEXTURA CROCANTE; COM ODOR, SABOR E COR CARACTERÍSTICOS; ISENTO DE PARASITAS E MATERIAIS ESTRANHOS. EMBALAGEM PRIMÁRIA PLÁSTICA DE 700G.  VALIDADE MÍNIMA DE 06 MESES APÓS A ENTREGA. ZERO GORDURA TRANS.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380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3,70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2.812,00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BISCOITO DOCE TIPO MAISENA OU MARIA TEXTURA CROCANTE; COM ODOR, SABOR E COR CARACTERÍSTICOS; ISENTO DE PARASITAS E MATERIAIS ESTRANHOS. EMBALAGEM PRIMÁRIA PLÁSTICA DE 400G.  VALIDADE MÍNIMA DE 06 MESES APÓS A ENTREGA. ZERO GORDURA TRANS.</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760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6,62</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15.888,00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25</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AÇÚCAR CRISTALIZADO APRESENTAÇÃO: CRISTAL BRANCO; O PRODUTO DEVERÁ APRESENTAR REGISTRO NO ÓRGÃO COMPETENTE E INFORMAÇÕES NUTRICIONAIS; ACONDICIONAMENTO: EMBALAGEM PLÁSTICA ORIGINAL CONTENDO 2 KG.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17,30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124.560,00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26</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ARROZ CLASSE: BRANCO POLIDO; TIPO 1, LONGO, FINO, GRÃOS INTEIROS, ISENTO DE FRAGMENTOS ESTRANHOS, PARASITAS E DETRITOS; ACONDICIONAMENTO: EMBALAGEM PLÁSTICA ORIGINAL; LEGISLAÇÃO: CONFORME RESOLUÇÃO RDC N 263, DE 22/09/2005; UNIDADE DE FORNECIMENTO: EMBALAGEM COM 5 KG.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7200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7,09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17.016,00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27</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ÓLEO DE SOJA REFINADO TIPO 1, LÍQUIDO VISCOSO, FABRICADO A PARTIR DE MATÉRIAS PRIMAS SÃS E LIMPAS; EM EMBALAGEM PLÁSTICA ORIGINAL COM 900 ML. CAIXA CONTENDO 20 UNIDADES. VALIDADE MÍNIMA DE 04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2400 un</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3,32</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9.960,00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28</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FEIJÃO CARIOCA, TIPO 1, NOVO, GRÃOS INTEIROS, SEM FUROS, SEM MOFO, COM ODOR CARACTERÍSTICO, ISENTO DE FRAGMENTOS ESTRANHOS, PARASITAS E DETRITOS; ACONDICIONADO EM EMBALAGEM PLÁSTICA ORIGINAL COM 01 KG. VALIDADE MÍNIMA DE 04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3,70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2.812,00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29</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FUBÁ PRÉ COZIDO ENRIQUECIDO COM FERRO, ÁCIDO FÓLICO E VITAMINA B9; ISENTO DE FRAGMENTOS ESTRANHOS, PARASITAS E DETRITOS; LEGISLAÇÃO: CONFORME RESOLUÇÃO RDC N 263, DE 22/09/2005; ACONDICIONAMENTO: EMBALAGEM ORIGINAL COM 01 KG. VALIDADE MÍNIMA DE 04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3,10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4.340,00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SAL REFINADO TIPO: REFINADO IODADO; ISENTO DE FRAGMENTOS ESTRANHOS, PARASITAS E DETRITOS; LIVRE DE UMIDADE; LEGISLAÇÃO: CONFORME RESOLUCAO RDC N 130, DE 26/05/2003; ACONDICIONAMENTO: EMBALAGEM PLASTICA ORIGINAL DE 01KG. VALIDADE: MÍNIMO DE 08 MESES A PARTIR DA DATA DE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1000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1,30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1.300,00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31</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FARINHA DE TRIGO PRODUTO COMPOSTO DE 100% FARINHA DE TRIGO ESPECIAL PARA CONSUMO, OBTIDO ATRAVÉS DA MOAGEM DE TRIGO E ENRIQUECIDA COM FERRO E ÁCIDO FÓLICO. ACONDICIONAMENTO: EMBALAGEM ORIGINAL COM 1KG; LEGISLAÇÃO: CONFORME RESOLUÇÃO RDC N 175, DE 08/07/2003; VALIDADE MÍNIMA DE 04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2900 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3,30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9.570,00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32</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FARINHA DE MANDIOCA de 1ª qualidade, FINA, SECA, ISENTO DE FRAGMENTOS ESTRANHOS, PARASITAS E DETRITOS, LIVRE DE UMIDADE, COM REGISTRO DO MINISTÉRIO COMPETENTE, EMBALAGEM CONTENDO DADOS DE IDENTIFICAÇÃO, PROCEDÊNCIA, INFORMAÇÃO NUTRICIONAL, NÚMERO DE LOTE E DATA DE VALIDADE. EMBALAGEM PLÁSTICA DE 01KG, VALIDADE MÍNIMA DE 06 MESES A PARTIR DA DATA DE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3,23</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839,80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33</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FARINHA DE AVEIA INTEGRAL RICA EM FIBRAS, PROTEÍNA, VITAMINA E SAIS MINERAIS.  ISENTA DE FRAGMENTOS ESTRANHOS, PARASITAS E DETRITOS; LIVRE DE UMIDADE; EMBALAGEM: CAIXINHA DE 165G OU 170G.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UN</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3,61</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1.083,00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widowControl/>
              <w:suppressAutoHyphens w:val="true"/>
              <w:bidi w:val="0"/>
              <w:spacing w:lineRule="auto" w:line="360" w:before="0" w:after="0"/>
              <w:ind w:hanging="0" w:left="0" w:right="0"/>
              <w:jc w:val="center"/>
              <w:rPr>
                <w:rFonts w:ascii="Arial" w:hAnsi="Arial" w:eastAsia="Arial" w:cs="Arial"/>
                <w:sz w:val="16"/>
                <w:szCs w:val="16"/>
              </w:rPr>
            </w:pPr>
            <w:r>
              <w:rPr>
                <w:rFonts w:eastAsia="Arial" w:cs="Arial" w:ascii="Arial" w:hAnsi="Arial"/>
                <w:sz w:val="16"/>
                <w:szCs w:val="16"/>
              </w:rPr>
              <w:t>34</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AVEIA EM FLOCOS FINOS RICA EM FIBRAS, PROTEÍNA, VITAMINA E SAIS MINERAIS.  ISENTA DE FRAGMENTOS ESTRANHOS, PARASITAS E DETRITOS; LIVRE DE UMIDADE; EMBALAGEM: CAIXINHA DE 165G OU 170G.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UN</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6,39</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1.917,00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35</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MILHO PARA CANJICA GRUPO: CLASSE: BRANCO; TIPO 1; LEGISLACAO CONFORME RESOLUCAO RDC 263 DE 22 DE SETEMBRO DE 2005. EMBALAGEM COM 500G. VALIDADE MÍNIMA DE 04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400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2,65</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1.060,00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36</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AMENDOIM NATURAL DESCASCADO, SUBGRUPO: SELECIONADO, TIPO I. ACONDICIONADO: EMBALAGEM PLÁSTICA DE 500G, CONTENDO IDENTIFICAÇÃO DO PRODUTO DATA DE FABRICAÇÃO E PRAZO DE VALIDADE. VALIDADE MÍNIMA DE 06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180 Pct</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5,30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954,00</w:t>
            </w:r>
          </w:p>
        </w:tc>
      </w:tr>
      <w:tr>
        <w:trPr>
          <w:trHeight w:val="269" w:hRule="atLeast"/>
        </w:trPr>
        <w:tc>
          <w:tcPr>
            <w:tcW w:w="508"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37</w:t>
            </w:r>
          </w:p>
        </w:tc>
        <w:tc>
          <w:tcPr>
            <w:tcW w:w="4327"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both"/>
              <w:rPr>
                <w:rFonts w:ascii="Arial" w:hAnsi="Arial" w:eastAsia="Arial" w:cs="Arial"/>
                <w:sz w:val="18"/>
                <w:szCs w:val="18"/>
              </w:rPr>
            </w:pPr>
            <w:r>
              <w:rPr>
                <w:rFonts w:eastAsia="Arial" w:cs="Arial" w:ascii="Arial" w:hAnsi="Arial"/>
                <w:sz w:val="18"/>
                <w:szCs w:val="18"/>
              </w:rPr>
              <w:t>UVA-PASSA DESIDRATADA, BRANCA, SEM SEMENTE, LIVRE DE FUNGOS; EMBALAGEM FECHADA E ROTULADA CONFORME LEGISLAÇÃO VIGENTE. PACOTE CONTENDO 200G.  DATA DE VALIDADE MÍNIMA DE 6 MESES APÓS A ENTREGA.</w:t>
            </w:r>
          </w:p>
        </w:tc>
        <w:tc>
          <w:tcPr>
            <w:tcW w:w="10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80Kg</w:t>
            </w:r>
          </w:p>
        </w:tc>
        <w:tc>
          <w:tcPr>
            <w:tcW w:w="195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color w:val="000000"/>
                <w:sz w:val="16"/>
                <w:szCs w:val="16"/>
              </w:rPr>
              <w:t>52,00</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jc w:val="center"/>
              <w:rPr>
                <w:rFonts w:ascii="Arial" w:hAnsi="Arial" w:eastAsia="Arial" w:cs="Arial"/>
                <w:sz w:val="16"/>
                <w:szCs w:val="16"/>
              </w:rPr>
            </w:pPr>
            <w:r>
              <w:rPr>
                <w:rFonts w:eastAsia="Arial" w:cs="Arial" w:ascii="Arial" w:hAnsi="Arial"/>
                <w:color w:val="000000"/>
                <w:sz w:val="16"/>
                <w:szCs w:val="16"/>
              </w:rPr>
              <w:t>4.160,00</w:t>
            </w:r>
          </w:p>
        </w:tc>
      </w:tr>
      <w:tr>
        <w:trPr>
          <w:trHeight w:val="510" w:hRule="atLeast"/>
        </w:trPr>
        <w:tc>
          <w:tcPr>
            <w:tcW w:w="7835" w:type="dxa"/>
            <w:gridSpan w:val="4"/>
            <w:tcBorders>
              <w:top w:val="single" w:sz="8" w:space="0" w:color="000000"/>
              <w:left w:val="single" w:sz="8" w:space="0" w:color="000000"/>
              <w:bottom w:val="single" w:sz="8" w:space="0" w:color="000000"/>
              <w:right w:val="single" w:sz="8" w:space="0" w:color="000000"/>
            </w:tcBorders>
            <w:shd w:fill="FFFFFF" w:val="clear"/>
            <w:vAlign w:val="center"/>
          </w:tcPr>
          <w:p>
            <w:pPr>
              <w:pStyle w:val="Normal"/>
              <w:spacing w:lineRule="auto" w:line="360"/>
              <w:jc w:val="right"/>
              <w:rPr>
                <w:rFonts w:ascii="Arial" w:hAnsi="Arial" w:eastAsia="Arial" w:cs="Arial"/>
                <w:b/>
                <w:sz w:val="16"/>
                <w:szCs w:val="16"/>
              </w:rPr>
            </w:pPr>
            <w:r>
              <w:rPr>
                <w:rFonts w:eastAsia="Arial" w:cs="Arial" w:ascii="Arial" w:hAnsi="Arial"/>
                <w:b/>
                <w:sz w:val="16"/>
                <w:szCs w:val="16"/>
              </w:rPr>
              <w:t>TOTAL</w:t>
            </w:r>
          </w:p>
        </w:tc>
        <w:tc>
          <w:tcPr>
            <w:tcW w:w="1880" w:type="dxa"/>
            <w:tcBorders>
              <w:top w:val="single" w:sz="8" w:space="0" w:color="000000"/>
              <w:left w:val="single" w:sz="8" w:space="0" w:color="000000"/>
              <w:bottom w:val="single" w:sz="8" w:space="0" w:color="000000"/>
              <w:right w:val="single" w:sz="8" w:space="0" w:color="000000"/>
            </w:tcBorders>
            <w:shd w:fill="FFFFFF" w:val="clear"/>
            <w:vAlign w:val="center"/>
          </w:tcPr>
          <w:p>
            <w:pPr>
              <w:pStyle w:val="Normal"/>
              <w:ind w:left="90"/>
              <w:jc w:val="center"/>
              <w:rPr>
                <w:rFonts w:ascii="Arial" w:hAnsi="Arial" w:eastAsia="Arial" w:cs="Arial"/>
                <w:b/>
              </w:rPr>
            </w:pPr>
            <w:r>
              <w:rPr>
                <w:rFonts w:eastAsia="Arial" w:cs="Arial" w:ascii="Arial" w:hAnsi="Arial"/>
                <w:b/>
              </w:rPr>
              <w:t>764.693,30</w:t>
            </w:r>
          </w:p>
        </w:tc>
      </w:tr>
    </w:tbl>
    <w:p>
      <w:pPr>
        <w:pStyle w:val="Normal"/>
        <w:spacing w:lineRule="auto" w:line="276" w:before="57" w:after="57"/>
        <w:ind w:left="0" w:right="0"/>
        <w:jc w:val="both"/>
        <w:rPr>
          <w:rFonts w:ascii="Verdana" w:hAnsi="Verdana"/>
          <w:b/>
          <w:sz w:val="20"/>
          <w:szCs w:val="20"/>
        </w:rPr>
      </w:pPr>
      <w:r>
        <w:rPr>
          <w:rFonts w:ascii="Verdana" w:hAnsi="Verdana"/>
          <w:b/>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8. ESTIMATIVA DO VALOR DA CONTRATAÇÃO:</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8.1 </w:t>
      </w:r>
      <w:r>
        <w:rPr>
          <w:rFonts w:ascii="Verdana" w:hAnsi="Verdana"/>
          <w:sz w:val="20"/>
          <w:szCs w:val="20"/>
        </w:rPr>
        <w:t>O valor estimado da contratação em tela é de</w:t>
      </w:r>
      <w:r>
        <w:rPr>
          <w:rFonts w:ascii="Verdana" w:hAnsi="Verdana"/>
          <w:b/>
          <w:sz w:val="20"/>
          <w:szCs w:val="20"/>
        </w:rPr>
        <w:t xml:space="preserve"> R$764.693,30 </w:t>
      </w:r>
      <w:r>
        <w:rPr>
          <w:rFonts w:ascii="Verdana" w:hAnsi="Verdana"/>
          <w:sz w:val="20"/>
          <w:szCs w:val="20"/>
        </w:rPr>
        <w:t>constante na planilha anterior.</w:t>
      </w:r>
    </w:p>
    <w:p>
      <w:pPr>
        <w:pStyle w:val="Normal"/>
        <w:spacing w:lineRule="auto" w:line="276" w:before="57" w:after="57"/>
        <w:ind w:left="0" w:right="0"/>
        <w:jc w:val="both"/>
        <w:rPr>
          <w:rFonts w:ascii="Verdana" w:hAnsi="Verdana"/>
          <w:sz w:val="20"/>
          <w:szCs w:val="20"/>
        </w:rPr>
      </w:pPr>
      <w:r>
        <w:rPr>
          <w:rFonts w:ascii="Verdana" w:hAnsi="Verdana"/>
          <w:b/>
          <w:sz w:val="20"/>
          <w:szCs w:val="20"/>
        </w:rPr>
        <w:t>8.2</w:t>
      </w:r>
      <w:r>
        <w:rPr>
          <w:rFonts w:ascii="Verdana" w:hAnsi="Verdana"/>
          <w:sz w:val="20"/>
          <w:szCs w:val="20"/>
        </w:rPr>
        <w:t xml:space="preserve"> </w:t>
      </w:r>
      <w:r>
        <w:rPr>
          <w:rFonts w:ascii="Verdana" w:hAnsi="Verdana"/>
          <w:color w:val="000000"/>
          <w:sz w:val="20"/>
          <w:szCs w:val="20"/>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76" w:before="57" w:after="57"/>
        <w:ind w:left="0" w:right="0"/>
        <w:jc w:val="both"/>
        <w:rPr>
          <w:rFonts w:ascii="Verdana" w:hAnsi="Verdana"/>
          <w:sz w:val="20"/>
          <w:szCs w:val="20"/>
        </w:rPr>
      </w:pPr>
      <w:r>
        <w:rPr>
          <w:rFonts w:ascii="Verdana" w:hAnsi="Verdana"/>
          <w:b/>
          <w:sz w:val="20"/>
          <w:szCs w:val="20"/>
        </w:rPr>
        <w:t>8</w:t>
      </w:r>
      <w:r>
        <w:rPr>
          <w:rFonts w:ascii="Verdana" w:hAnsi="Verdana"/>
          <w:b/>
          <w:color w:val="000000"/>
          <w:sz w:val="20"/>
          <w:szCs w:val="20"/>
        </w:rPr>
        <w:t>.</w:t>
      </w:r>
      <w:r>
        <w:rPr>
          <w:rFonts w:ascii="Verdana" w:hAnsi="Verdana"/>
          <w:b/>
          <w:sz w:val="20"/>
          <w:szCs w:val="20"/>
        </w:rPr>
        <w:t>3</w:t>
      </w:r>
      <w:r>
        <w:rPr>
          <w:rFonts w:ascii="Verdana" w:hAnsi="Verdana"/>
          <w:b/>
          <w:color w:val="000000"/>
          <w:sz w:val="20"/>
          <w:szCs w:val="20"/>
        </w:rPr>
        <w:t xml:space="preserve">. </w:t>
      </w:r>
      <w:r>
        <w:rPr>
          <w:rFonts w:ascii="Verdana" w:hAnsi="Verdana"/>
          <w:color w:val="000000"/>
          <w:sz w:val="20"/>
          <w:szCs w:val="20"/>
        </w:rPr>
        <w:t xml:space="preserve">Conforme </w:t>
      </w:r>
      <w:r>
        <w:rPr>
          <w:rFonts w:ascii="Verdana" w:hAnsi="Verdana"/>
          <w:sz w:val="20"/>
          <w:szCs w:val="20"/>
        </w:rPr>
        <w:t>os requisitos estabelecidos para a contratação, foi realizada pesquisa de mercado no Mercado Local e Pregão anterior vigente do Município, para mapear as soluções disponíveis.</w:t>
      </w:r>
    </w:p>
    <w:p>
      <w:pPr>
        <w:pStyle w:val="Normal"/>
        <w:spacing w:lineRule="auto" w:line="276" w:before="57" w:after="57"/>
        <w:ind w:left="0" w:right="0"/>
        <w:jc w:val="both"/>
        <w:rPr>
          <w:rFonts w:ascii="Verdana" w:hAnsi="Verdana"/>
          <w:b/>
          <w:sz w:val="20"/>
          <w:szCs w:val="20"/>
        </w:rPr>
      </w:pPr>
      <w:r>
        <w:rPr>
          <w:rFonts w:ascii="Verdana" w:hAnsi="Verdana"/>
          <w:b/>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9. DESCRIÇÃO DA SOLUÇÃO COMO UM TODO</w:t>
      </w:r>
    </w:p>
    <w:p>
      <w:pPr>
        <w:pStyle w:val="Normal"/>
        <w:spacing w:lineRule="auto" w:line="276" w:before="57" w:after="57"/>
        <w:ind w:left="0" w:right="0"/>
        <w:jc w:val="both"/>
        <w:rPr>
          <w:rFonts w:ascii="Verdana" w:hAnsi="Verdana"/>
          <w:sz w:val="20"/>
          <w:szCs w:val="20"/>
        </w:rPr>
      </w:pPr>
      <w:r>
        <w:rPr>
          <w:rFonts w:ascii="Verdana" w:hAnsi="Verdana"/>
          <w:b/>
          <w:sz w:val="20"/>
          <w:szCs w:val="20"/>
        </w:rPr>
        <w:t>9.1</w:t>
      </w:r>
      <w:r>
        <w:rPr>
          <w:rFonts w:ascii="Verdana" w:hAnsi="Verdana"/>
          <w:sz w:val="20"/>
          <w:szCs w:val="20"/>
        </w:rPr>
        <w:t xml:space="preserve"> A solução a ser adotada consiste na aquisição de gêneros alimentícios por meio de </w:t>
      </w:r>
      <w:r>
        <w:rPr>
          <w:rFonts w:ascii="Verdana" w:hAnsi="Verdana"/>
          <w:b/>
          <w:sz w:val="20"/>
          <w:szCs w:val="20"/>
        </w:rPr>
        <w:t>pregão eletrônico</w:t>
      </w:r>
      <w:r>
        <w:rPr>
          <w:rFonts w:ascii="Verdana" w:hAnsi="Verdana"/>
          <w:sz w:val="20"/>
          <w:szCs w:val="20"/>
        </w:rPr>
        <w:t>, para atender as necessidades das Escolas da Rede Pública Municipal através do Programa Nacional de Alimentação Escolar, da Secretaria Municipal de Educação.</w:t>
      </w:r>
    </w:p>
    <w:p>
      <w:pPr>
        <w:pStyle w:val="Normal"/>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10.</w:t>
      </w:r>
      <w:r>
        <w:rPr>
          <w:rFonts w:ascii="Verdana" w:hAnsi="Verdana"/>
          <w:sz w:val="20"/>
          <w:szCs w:val="20"/>
        </w:rPr>
        <w:t xml:space="preserve"> </w:t>
      </w:r>
      <w:r>
        <w:rPr>
          <w:rFonts w:ascii="Verdana" w:hAnsi="Verdana"/>
          <w:b/>
          <w:sz w:val="20"/>
          <w:szCs w:val="20"/>
        </w:rPr>
        <w:t xml:space="preserve"> ENTREGA E CRITÉRIOS DE ACEITAÇÃO DO OBJETO</w:t>
      </w:r>
    </w:p>
    <w:p>
      <w:pPr>
        <w:pStyle w:val="Normal"/>
        <w:spacing w:lineRule="auto" w:line="276" w:before="57" w:after="57"/>
        <w:ind w:left="0" w:right="0"/>
        <w:jc w:val="both"/>
        <w:rPr>
          <w:rFonts w:ascii="Verdana" w:hAnsi="Verdana"/>
          <w:sz w:val="20"/>
          <w:szCs w:val="20"/>
        </w:rPr>
      </w:pPr>
      <w:r>
        <w:rPr>
          <w:rFonts w:ascii="Verdana" w:hAnsi="Verdana"/>
          <w:b/>
          <w:sz w:val="20"/>
          <w:szCs w:val="20"/>
        </w:rPr>
        <w:t>a)</w:t>
      </w:r>
      <w:r>
        <w:rPr>
          <w:rFonts w:ascii="Verdana" w:hAnsi="Verdana"/>
          <w:sz w:val="20"/>
          <w:szCs w:val="20"/>
        </w:rPr>
        <w:t xml:space="preserve"> Os </w:t>
      </w:r>
      <w:r>
        <w:rPr>
          <w:rFonts w:ascii="Verdana" w:hAnsi="Verdana"/>
          <w:b/>
          <w:sz w:val="20"/>
          <w:szCs w:val="20"/>
        </w:rPr>
        <w:t>gêneros perecíveis</w:t>
      </w:r>
      <w:r>
        <w:rPr>
          <w:rFonts w:ascii="Verdana" w:hAnsi="Verdana"/>
          <w:sz w:val="20"/>
          <w:szCs w:val="20"/>
        </w:rPr>
        <w:t xml:space="preserve"> deverão ser apresentados no depósito do SEMAE, localizado na Rua Eli Cardoso, s/nº, Bairro Santa Cecília (Escola Irmã Adelaide Bertocchi - Polivalente), nesta cidade, juntamente com a Nota Fiscal para avaliação da qualidade e conferência do item com a descrição solicitada no Edital de Licitação; após, serão liberados para serem entregues diretamente nas escolas conforme cronogramas de entrega;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Os </w:t>
      </w:r>
      <w:r>
        <w:rPr>
          <w:rFonts w:ascii="Verdana" w:hAnsi="Verdana"/>
          <w:b/>
          <w:sz w:val="20"/>
          <w:szCs w:val="20"/>
        </w:rPr>
        <w:t>gêneros não perecíveis</w:t>
      </w:r>
      <w:r>
        <w:rPr>
          <w:rFonts w:ascii="Verdana" w:hAnsi="Verdana"/>
          <w:sz w:val="20"/>
          <w:szCs w:val="20"/>
        </w:rPr>
        <w:t xml:space="preserve"> deverão ser entregues diretamente no depósito do SEMAE, localizado na Rua Eli Cardoso, s/nº, Bairro Santa Cecília - (Escola Irmã Adelaide Bertocchi - Polivalente), nesta cidade, juntamente com a Nota Fiscal conforme cronograma de entrega.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c) </w:t>
      </w:r>
      <w:r>
        <w:rPr>
          <w:rFonts w:ascii="Verdana" w:hAnsi="Verdana"/>
          <w:sz w:val="20"/>
          <w:szCs w:val="20"/>
        </w:rPr>
        <w:t>A entrega deverá ocorrer sem qualquer ônus adicional, bem como a descarga e todas as demais despesas provenientes da mesma.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d) </w:t>
      </w:r>
      <w:r>
        <w:rPr>
          <w:rFonts w:ascii="Verdana" w:hAnsi="Verdana"/>
          <w:sz w:val="20"/>
          <w:szCs w:val="20"/>
        </w:rPr>
        <w:t>A Empresa vencedora garantirá a qualidade dos materiais obrigando-se a repor aquele que apresentar defeito ou for entregue em desacordo com o apresentado na proposta.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e) </w:t>
      </w:r>
      <w:r>
        <w:rPr>
          <w:rFonts w:ascii="Verdana" w:hAnsi="Verdana"/>
          <w:sz w:val="20"/>
          <w:szCs w:val="20"/>
        </w:rPr>
        <w:t>Os itens deverão ser entregues dentro do horário de expediente do setor de alimentação escolar e das escolas sendo de 7h às 17h, observando feriados e pontos facultativos.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f) </w:t>
      </w:r>
      <w:r>
        <w:rPr>
          <w:rFonts w:ascii="Verdana" w:hAnsi="Verdana"/>
          <w:sz w:val="20"/>
          <w:szCs w:val="20"/>
        </w:rPr>
        <w:t xml:space="preserve">A Empresa vencedora garantirá a qualidade dos itens obrigando-se a repor aquele que apresentar defeito ou for entregue em desacordo com o apresentado na proposta; </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g) </w:t>
      </w:r>
      <w:r>
        <w:rPr>
          <w:rFonts w:ascii="Verdana" w:hAnsi="Verdana"/>
          <w:sz w:val="20"/>
          <w:szCs w:val="20"/>
        </w:rPr>
        <w:t>O material deverá ser entregue nas mesmas marcas indicadas nas propostas de preços vencedoras do certame e especificações constantes nas solicitações de compras.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h) </w:t>
      </w:r>
      <w:r>
        <w:rPr>
          <w:rFonts w:ascii="Verdana" w:hAnsi="Verdana"/>
          <w:sz w:val="20"/>
          <w:szCs w:val="20"/>
        </w:rPr>
        <w:t>O recebimento provisório do material entregue dar-se-á pela conferência com a descrição constante da ordem de fornecimento ou serviço;</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i) </w:t>
      </w:r>
      <w:r>
        <w:rPr>
          <w:rFonts w:ascii="Verdana" w:hAnsi="Verdana"/>
          <w:sz w:val="20"/>
          <w:szCs w:val="20"/>
        </w:rPr>
        <w:t>O recebimento definitivo ocorrerá com a verificação integral de todos os itens e características do produto fornecido pela CONTRATADA;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j) </w:t>
      </w:r>
      <w:r>
        <w:rPr>
          <w:rFonts w:ascii="Verdana" w:hAnsi="Verdana"/>
          <w:sz w:val="20"/>
          <w:szCs w:val="20"/>
        </w:rPr>
        <w:t>O recebimento definitivo não isenta a CONTRATADA de responsabilidades futuras quanto à qualidade dos fornecimentos e serviços prestados.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k) </w:t>
      </w:r>
      <w:r>
        <w:rPr>
          <w:rFonts w:ascii="Verdana" w:hAnsi="Verdana"/>
          <w:sz w:val="20"/>
          <w:szCs w:val="20"/>
        </w:rPr>
        <w:t>O recebimento provisório dos produtos não implica em aceitação dos mesmos;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l) </w:t>
      </w:r>
      <w:r>
        <w:rPr>
          <w:rFonts w:ascii="Verdana" w:hAnsi="Verdana"/>
          <w:sz w:val="20"/>
          <w:szCs w:val="20"/>
        </w:rPr>
        <w:t>Os produtos que não estiverem de acordo com as especificações exigidas, apresentem vício de qualidade ou impropriedade para o uso, serão recusadas e devolvidas parcial ou totalmente, conforme caso, ficando a CONTRATADA, obrigada a substituí-los no prazo de 5 (cinco) dias úteis, contadas do recebimento da notificação escrita, sob pena de incorrer em atraso quanto ao prazo de execução;</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m) </w:t>
      </w:r>
      <w:r>
        <w:rPr>
          <w:rFonts w:ascii="Verdana" w:hAnsi="Verdana"/>
          <w:sz w:val="20"/>
          <w:szCs w:val="20"/>
        </w:rPr>
        <w:t>Havendo erro na Nota Fiscal ou outra circunstância impeditiva, o recebimento definitivo será suspenso, até que a empresa tome as medidas saneadoras necessárias;</w:t>
      </w:r>
    </w:p>
    <w:p>
      <w:pPr>
        <w:pStyle w:val="Normal"/>
        <w:spacing w:lineRule="auto" w:line="276" w:before="57" w:after="57"/>
        <w:ind w:left="0" w:right="0"/>
        <w:jc w:val="both"/>
        <w:rPr>
          <w:rFonts w:ascii="Verdana" w:hAnsi="Verdana"/>
          <w:sz w:val="20"/>
          <w:szCs w:val="20"/>
        </w:rPr>
      </w:pPr>
      <w:r>
        <w:rPr>
          <w:rFonts w:ascii="Verdana" w:hAnsi="Verdana"/>
          <w:b/>
          <w:sz w:val="20"/>
          <w:szCs w:val="20"/>
        </w:rPr>
        <w:t>10.1 DAS AMOSTRAS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a) </w:t>
      </w:r>
      <w:r>
        <w:rPr>
          <w:rFonts w:ascii="Verdana" w:hAnsi="Verdana"/>
          <w:sz w:val="20"/>
          <w:szCs w:val="20"/>
        </w:rPr>
        <w:t>As amostras deverão ser apresentadas em no Máximo 2 (dois) dias úteis após o certame licitatório, podendo o prazo ser prorrogado ou a entrega ser dispensada, a pedido da contratante, desde que através de solicitação devidamente justificada e aceita;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b) </w:t>
      </w:r>
      <w:r>
        <w:rPr>
          <w:rFonts w:ascii="Verdana" w:hAnsi="Verdana"/>
          <w:sz w:val="20"/>
          <w:szCs w:val="20"/>
        </w:rPr>
        <w:t>Os produtos apresentados como amostras poderão ser abertos, manuseados e consumidos;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c) </w:t>
      </w:r>
      <w:r>
        <w:rPr>
          <w:rFonts w:ascii="Verdana" w:hAnsi="Verdana"/>
          <w:sz w:val="20"/>
          <w:szCs w:val="20"/>
        </w:rPr>
        <w:t>A amostra apresentada, não será em hipótese alguma, considerada como início de entrega dos gêneros;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d) </w:t>
      </w:r>
      <w:r>
        <w:rPr>
          <w:rFonts w:ascii="Verdana" w:hAnsi="Verdana"/>
          <w:sz w:val="20"/>
          <w:szCs w:val="20"/>
        </w:rPr>
        <w:t>As amostras serão avaliadas pela Comissão do Núcleo de Promoção da Qualidade da Alimentação Escolar, apresentando o resultado em laudo escrito.</w:t>
      </w:r>
    </w:p>
    <w:p>
      <w:pPr>
        <w:pStyle w:val="Normal"/>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color w:val="000000"/>
          <w:sz w:val="20"/>
          <w:szCs w:val="20"/>
        </w:rPr>
        <w:t>11. JUSTIFICATIVA PARA O PARCELAMENTO OU NÃO DA SOLUÇÃO</w:t>
      </w:r>
    </w:p>
    <w:p>
      <w:pPr>
        <w:pStyle w:val="Normal"/>
        <w:spacing w:lineRule="auto" w:line="276" w:before="57" w:after="57"/>
        <w:ind w:left="0" w:right="0"/>
        <w:jc w:val="both"/>
        <w:rPr>
          <w:rFonts w:ascii="Verdana" w:hAnsi="Verdana"/>
          <w:sz w:val="20"/>
          <w:szCs w:val="20"/>
        </w:rPr>
      </w:pPr>
      <w:r>
        <w:rPr>
          <w:rFonts w:ascii="Verdana" w:hAnsi="Verdana"/>
          <w:b/>
          <w:sz w:val="20"/>
          <w:szCs w:val="20"/>
        </w:rPr>
        <w:t>a)</w:t>
      </w:r>
      <w:r>
        <w:rPr>
          <w:rFonts w:ascii="Verdana" w:hAnsi="Verdana"/>
          <w:sz w:val="20"/>
          <w:szCs w:val="20"/>
        </w:rPr>
        <w:t xml:space="preserve"> </w:t>
      </w:r>
      <w:r>
        <w:rPr>
          <w:rFonts w:ascii="Verdana" w:hAnsi="Verdana"/>
          <w:sz w:val="20"/>
          <w:szCs w:val="20"/>
          <w:shd w:fill="FFFFFF" w:val="clear"/>
        </w:rPr>
        <w:t xml:space="preserve">O objeto da contratação será composto por </w:t>
      </w:r>
      <w:r>
        <w:rPr>
          <w:rFonts w:ascii="Verdana" w:hAnsi="Verdana"/>
          <w:b/>
          <w:bCs/>
          <w:sz w:val="20"/>
          <w:szCs w:val="20"/>
          <w:shd w:fill="FFFFFF" w:val="clear"/>
        </w:rPr>
        <w:t>37</w:t>
      </w:r>
      <w:r>
        <w:rPr>
          <w:rFonts w:ascii="Verdana" w:hAnsi="Verdana"/>
          <w:b/>
          <w:sz w:val="20"/>
          <w:szCs w:val="20"/>
          <w:shd w:fill="FFFFFF" w:val="clear"/>
        </w:rPr>
        <w:t xml:space="preserve"> itens</w:t>
      </w:r>
      <w:r>
        <w:rPr>
          <w:rFonts w:ascii="Verdana" w:hAnsi="Verdana"/>
          <w:sz w:val="20"/>
          <w:szCs w:val="20"/>
          <w:shd w:fill="FFFFFF" w:val="clear"/>
        </w:rPr>
        <w:t>, de preço total estimado orçado pela Educação no valor</w:t>
      </w:r>
      <w:r>
        <w:rPr>
          <w:rFonts w:ascii="Verdana" w:hAnsi="Verdana"/>
          <w:b/>
          <w:sz w:val="20"/>
          <w:szCs w:val="20"/>
          <w:shd w:fill="FFFFFF" w:val="clear"/>
        </w:rPr>
        <w:t xml:space="preserve"> </w:t>
      </w:r>
      <w:r>
        <w:rPr>
          <w:rFonts w:ascii="Verdana" w:hAnsi="Verdana"/>
          <w:b/>
          <w:sz w:val="20"/>
          <w:szCs w:val="20"/>
        </w:rPr>
        <w:t>R$764.693,30</w:t>
      </w:r>
      <w:r>
        <w:rPr>
          <w:rFonts w:ascii="Verdana" w:hAnsi="Verdana"/>
          <w:b/>
          <w:sz w:val="20"/>
          <w:szCs w:val="20"/>
          <w:shd w:fill="FFFFFF" w:val="clear"/>
        </w:rPr>
        <w:t xml:space="preserve">. </w:t>
      </w:r>
      <w:r>
        <w:rPr>
          <w:rFonts w:ascii="Verdana" w:hAnsi="Verdana"/>
          <w:sz w:val="20"/>
          <w:szCs w:val="20"/>
          <w:shd w:fill="FFFFFF" w:val="clear"/>
        </w:rPr>
        <w:t xml:space="preserve">Para fins de classificação, será considerado o </w:t>
      </w:r>
      <w:r>
        <w:rPr>
          <w:rFonts w:ascii="Verdana" w:hAnsi="Verdana"/>
          <w:b/>
          <w:sz w:val="20"/>
          <w:szCs w:val="20"/>
          <w:shd w:fill="FFFFFF" w:val="clear"/>
        </w:rPr>
        <w:t>menor preço por item</w:t>
      </w:r>
      <w:r>
        <w:rPr>
          <w:rFonts w:ascii="Verdana" w:hAnsi="Verdana"/>
          <w:sz w:val="20"/>
          <w:szCs w:val="20"/>
          <w:shd w:fill="FFFFFF" w:val="clear"/>
        </w:rPr>
        <w:t>. Compete à administração buscar o menor dispêndio possível de recursos, assegurando a qualidade da prestação dos serviços, o que exige a escolha da solução mais adequada e eficiente dentre as diversas opções existentes já por ocasião da definição do objeto e das condições da aquisição, posto que seja essa descrição que impulsiona a seleção da proposta mais vantajosa.</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A contratação deverá ser parcelada conforme cronograma anexado aos autos, </w:t>
      </w:r>
      <w:r>
        <w:rPr>
          <w:rFonts w:ascii="Verdana" w:hAnsi="Verdana"/>
          <w:sz w:val="20"/>
          <w:szCs w:val="20"/>
          <w:shd w:fill="FFFFFF" w:val="clear"/>
        </w:rPr>
        <w:t>evitando desperdícios e garantindo que os alimentos cheguem aos alunos de forma mais organizada e eficiente evitando que grandes quantidades de produtos estraguem por falta de consumo. Isso contribui para a redução de desperdícios e a utilização mais eficiente dos recursos.</w:t>
      </w:r>
    </w:p>
    <w:p>
      <w:pPr>
        <w:pStyle w:val="Normal"/>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12. RESULTADOS PRETENDIDOS COM A CONTRATAÇÃO</w:t>
      </w:r>
    </w:p>
    <w:p>
      <w:pPr>
        <w:pStyle w:val="Normal"/>
        <w:spacing w:lineRule="auto" w:line="276" w:before="57" w:after="57"/>
        <w:ind w:left="0" w:right="0"/>
        <w:jc w:val="both"/>
        <w:rPr>
          <w:rFonts w:ascii="Verdana" w:hAnsi="Verdana"/>
          <w:sz w:val="20"/>
          <w:szCs w:val="20"/>
        </w:rPr>
      </w:pPr>
      <w:r>
        <w:rPr>
          <w:rFonts w:ascii="Verdana" w:hAnsi="Verdana"/>
          <w:b/>
          <w:sz w:val="20"/>
          <w:szCs w:val="20"/>
        </w:rPr>
        <w:t>12.1</w:t>
      </w:r>
      <w:r>
        <w:rPr>
          <w:rFonts w:ascii="Verdana" w:hAnsi="Verdana"/>
          <w:sz w:val="20"/>
          <w:szCs w:val="20"/>
        </w:rPr>
        <w:t xml:space="preserve"> Com a contratação, buscamos suprir as necessidades das Escolas Municipais através do Programa Nacional de Alimentação Escolar, a fim de mantermos os 200 dias letivos com fornecimento de gêneros alimentícios de qualidade, fornecendo alimentação adequada aos alunos durante o período de aula.</w:t>
      </w:r>
    </w:p>
    <w:p>
      <w:pPr>
        <w:pStyle w:val="Normal"/>
        <w:spacing w:lineRule="auto" w:line="276" w:before="57" w:after="57"/>
        <w:ind w:left="0" w:right="0"/>
        <w:jc w:val="both"/>
        <w:rPr>
          <w:rFonts w:ascii="Verdana" w:hAnsi="Verdana"/>
          <w:sz w:val="20"/>
          <w:szCs w:val="20"/>
        </w:rPr>
      </w:pPr>
      <w:r>
        <w:rPr>
          <w:rFonts w:ascii="Verdana" w:hAnsi="Verdana"/>
          <w:b/>
          <w:sz w:val="20"/>
          <w:szCs w:val="20"/>
        </w:rPr>
        <w:t>13. PROVIDÊNCIAS A SEREM ADOTADAS</w:t>
      </w:r>
    </w:p>
    <w:p>
      <w:pPr>
        <w:pStyle w:val="Normal"/>
        <w:spacing w:lineRule="auto" w:line="276" w:before="57" w:after="57"/>
        <w:ind w:left="0" w:right="0"/>
        <w:jc w:val="both"/>
        <w:rPr>
          <w:rFonts w:ascii="Verdana" w:hAnsi="Verdana"/>
          <w:sz w:val="20"/>
          <w:szCs w:val="20"/>
        </w:rPr>
      </w:pPr>
      <w:r>
        <w:rPr>
          <w:rFonts w:ascii="Verdana" w:hAnsi="Verdana"/>
          <w:b/>
          <w:sz w:val="20"/>
          <w:szCs w:val="20"/>
        </w:rPr>
        <w:t>a)</w:t>
      </w:r>
      <w:r>
        <w:rPr>
          <w:rFonts w:ascii="Verdana" w:hAnsi="Verdana"/>
          <w:sz w:val="20"/>
          <w:szCs w:val="20"/>
        </w:rPr>
        <w:t>A Secretaria Municipal de Educação deverá acompanhar, fiscalizar, comprovar e relatar, por escrito, as eventuais irregularidades na execução dos serviços. Deverão ser nomeados quantidade de fiscais suficientes para um efetivo acompanhamento da execução do contrato.</w:t>
      </w:r>
    </w:p>
    <w:p>
      <w:pPr>
        <w:pStyle w:val="Normal"/>
        <w:spacing w:lineRule="auto" w:line="276" w:before="57" w:after="57"/>
        <w:ind w:left="0" w:right="0"/>
        <w:jc w:val="both"/>
        <w:rPr>
          <w:rFonts w:ascii="Verdana" w:hAnsi="Verdana"/>
          <w:sz w:val="20"/>
          <w:szCs w:val="20"/>
        </w:rPr>
      </w:pPr>
      <w:r>
        <w:rPr>
          <w:rFonts w:ascii="Verdana" w:hAnsi="Verdana"/>
          <w:b/>
          <w:sz w:val="20"/>
          <w:szCs w:val="20"/>
        </w:rPr>
        <w:t>b)</w:t>
      </w:r>
      <w:r>
        <w:rPr>
          <w:rFonts w:ascii="Verdana" w:hAnsi="Verdana"/>
          <w:sz w:val="20"/>
          <w:szCs w:val="20"/>
        </w:rPr>
        <w:t xml:space="preserve">No caso de interrupção das entregas, por parte da contratada, o gestor do contrato tomará as providências cabíveis, de acordo com cláusulas do edital e contrato. </w:t>
      </w:r>
    </w:p>
    <w:p>
      <w:pPr>
        <w:pStyle w:val="Normal"/>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14. CONTRATAÇÕES CORRELATAS E/OU INTERDEPENDENTES</w:t>
      </w:r>
    </w:p>
    <w:p>
      <w:pPr>
        <w:pStyle w:val="Normal"/>
        <w:spacing w:lineRule="auto" w:line="276" w:before="57" w:after="57"/>
        <w:ind w:left="0" w:right="0"/>
        <w:jc w:val="both"/>
        <w:rPr>
          <w:rFonts w:ascii="Verdana" w:hAnsi="Verdana"/>
          <w:sz w:val="20"/>
          <w:szCs w:val="20"/>
        </w:rPr>
      </w:pPr>
      <w:r>
        <w:rPr>
          <w:rFonts w:ascii="Verdana" w:hAnsi="Verdana"/>
          <w:b/>
          <w:sz w:val="20"/>
          <w:szCs w:val="20"/>
        </w:rPr>
        <w:t>14.1.</w:t>
      </w:r>
      <w:r>
        <w:rPr>
          <w:rFonts w:ascii="Verdana" w:hAnsi="Verdana"/>
          <w:sz w:val="20"/>
          <w:szCs w:val="20"/>
        </w:rPr>
        <w:t xml:space="preserve"> Não se verificam contratações correlatas ou interdependentes para a viabilidade e contratação desta demanda.</w:t>
      </w:r>
    </w:p>
    <w:p>
      <w:pPr>
        <w:pStyle w:val="Normal"/>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15. POSSÍVEIS IMPACTOS AMBIENTAIS</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15.1. </w:t>
      </w:r>
      <w:r>
        <w:rPr>
          <w:rFonts w:ascii="Verdana" w:hAnsi="Verdana"/>
          <w:sz w:val="20"/>
          <w:szCs w:val="20"/>
        </w:rPr>
        <w:t>Não se verificam impactos ambientais da contratação.</w:t>
      </w:r>
    </w:p>
    <w:p>
      <w:pPr>
        <w:pStyle w:val="Normal"/>
        <w:spacing w:lineRule="auto" w:line="276" w:before="57" w:after="57"/>
        <w:ind w:left="0" w:right="0"/>
        <w:jc w:val="both"/>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16. DECLARAÇÃO E JUSTIFICATIVA DA VIABILIDADE</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a) </w:t>
      </w:r>
      <w:r>
        <w:rPr>
          <w:rFonts w:ascii="Verdana" w:hAnsi="Verdana"/>
          <w:sz w:val="20"/>
          <w:szCs w:val="20"/>
        </w:rPr>
        <w:t>Neste sentido, a equipe de planejamento deste ETP e de acordo com a autoridade deste requerente, declara viável esta contratação, com base nos elementos apresentados neste documento.</w:t>
      </w:r>
    </w:p>
    <w:p>
      <w:pPr>
        <w:pStyle w:val="Normal"/>
        <w:spacing w:lineRule="auto" w:line="276" w:before="57" w:after="57"/>
        <w:ind w:left="0" w:right="0"/>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Considerando que os serviços se constituem de aquisição de gêneros alimentícios por meio de </w:t>
      </w:r>
      <w:r>
        <w:rPr>
          <w:rFonts w:ascii="Verdana" w:hAnsi="Verdana"/>
          <w:b/>
          <w:sz w:val="20"/>
          <w:szCs w:val="20"/>
        </w:rPr>
        <w:t>pregão eletrônico</w:t>
      </w:r>
      <w:r>
        <w:rPr>
          <w:rFonts w:ascii="Verdana" w:hAnsi="Verdana"/>
          <w:sz w:val="20"/>
          <w:szCs w:val="20"/>
        </w:rPr>
        <w:t>, para atender as necessidades das Escolas da Rede Pública Municipal de São Gabriel da Palha, através do Programa Nacional de Alimentação Escolar.</w:t>
      </w:r>
    </w:p>
    <w:p>
      <w:pPr>
        <w:pStyle w:val="Normal"/>
        <w:spacing w:lineRule="auto" w:line="276" w:before="57" w:after="57"/>
        <w:ind w:left="0" w:right="0"/>
        <w:jc w:val="right"/>
        <w:rPr>
          <w:rFonts w:ascii="Verdana" w:hAnsi="Verdana"/>
          <w:sz w:val="20"/>
          <w:szCs w:val="20"/>
        </w:rPr>
      </w:pPr>
      <w:r>
        <w:rPr>
          <w:rFonts w:ascii="Verdana" w:hAnsi="Verdana"/>
          <w:sz w:val="20"/>
          <w:szCs w:val="20"/>
        </w:rPr>
      </w:r>
    </w:p>
    <w:p>
      <w:pPr>
        <w:pStyle w:val="Normal"/>
        <w:spacing w:lineRule="auto" w:line="276" w:before="57" w:after="57"/>
        <w:ind w:left="0" w:right="0"/>
        <w:jc w:val="right"/>
        <w:rPr>
          <w:rFonts w:ascii="Verdana" w:hAnsi="Verdana"/>
          <w:sz w:val="20"/>
          <w:szCs w:val="20"/>
        </w:rPr>
      </w:pPr>
      <w:r>
        <w:rPr>
          <w:rFonts w:ascii="Verdana" w:hAnsi="Verdana"/>
          <w:sz w:val="20"/>
          <w:szCs w:val="20"/>
        </w:rPr>
        <w:t xml:space="preserve">São Gabriel da Palha, 02 de dezembro de 2025. </w:t>
      </w:r>
    </w:p>
    <w:p>
      <w:pPr>
        <w:pStyle w:val="Normal"/>
        <w:spacing w:lineRule="auto" w:line="276" w:before="57" w:after="57"/>
        <w:ind w:left="0" w:right="0"/>
        <w:jc w:val="right"/>
        <w:rPr>
          <w:rFonts w:ascii="Verdana" w:hAnsi="Verdana"/>
          <w:sz w:val="20"/>
          <w:szCs w:val="20"/>
        </w:rPr>
      </w:pPr>
      <w:r>
        <w:rPr>
          <w:rFonts w:ascii="Verdana" w:hAnsi="Verdana"/>
          <w:sz w:val="20"/>
          <w:szCs w:val="20"/>
        </w:rPr>
      </w:r>
    </w:p>
    <w:p>
      <w:pPr>
        <w:pStyle w:val="Normal"/>
        <w:spacing w:lineRule="auto" w:line="276" w:before="57" w:after="57"/>
        <w:ind w:left="0" w:right="0"/>
        <w:jc w:val="both"/>
        <w:rPr>
          <w:rFonts w:ascii="Verdana" w:hAnsi="Verdana"/>
          <w:sz w:val="20"/>
          <w:szCs w:val="20"/>
        </w:rPr>
      </w:pPr>
      <w:r>
        <w:rPr>
          <w:rFonts w:ascii="Verdana" w:hAnsi="Verdana"/>
          <w:b/>
          <w:sz w:val="20"/>
          <w:szCs w:val="20"/>
        </w:rPr>
        <w:t>17. RESPONSÁVEIS</w:t>
      </w:r>
    </w:p>
    <w:tbl>
      <w:tblPr>
        <w:tblW w:w="9745" w:type="dxa"/>
        <w:jc w:val="left"/>
        <w:tblInd w:w="-108" w:type="dxa"/>
        <w:tblLayout w:type="fixed"/>
        <w:tblCellMar>
          <w:top w:w="0" w:type="dxa"/>
          <w:left w:w="108" w:type="dxa"/>
          <w:bottom w:w="0" w:type="dxa"/>
          <w:right w:w="108" w:type="dxa"/>
        </w:tblCellMar>
      </w:tblPr>
      <w:tblGrid>
        <w:gridCol w:w="4873"/>
        <w:gridCol w:w="4872"/>
      </w:tblGrid>
      <w:tr>
        <w:trPr>
          <w:trHeight w:val="500" w:hRule="atLeast"/>
        </w:trPr>
        <w:tc>
          <w:tcPr>
            <w:tcW w:w="4873" w:type="dxa"/>
            <w:tcBorders/>
          </w:tcPr>
          <w:p>
            <w:pPr>
              <w:pStyle w:val="Normal"/>
              <w:widowControl w:val="false"/>
              <w:spacing w:lineRule="auto" w:line="276" w:before="57" w:after="57"/>
              <w:ind w:left="0" w:right="0"/>
              <w:jc w:val="both"/>
              <w:rPr>
                <w:rFonts w:ascii="Verdana" w:hAnsi="Verdana"/>
                <w:sz w:val="20"/>
                <w:szCs w:val="20"/>
              </w:rPr>
            </w:pPr>
            <w:r>
              <w:rPr>
                <w:rFonts w:eastAsia="Liberation Serif" w:cs="Liberation Serif" w:ascii="Verdana" w:hAnsi="Verdana"/>
                <w:b/>
                <w:color w:val="000000"/>
                <w:sz w:val="20"/>
                <w:szCs w:val="20"/>
              </w:rPr>
              <w:t>Elaborado por:</w:t>
            </w:r>
          </w:p>
        </w:tc>
        <w:tc>
          <w:tcPr>
            <w:tcW w:w="4872" w:type="dxa"/>
            <w:tcBorders/>
          </w:tcPr>
          <w:p>
            <w:pPr>
              <w:pStyle w:val="Normal"/>
              <w:widowControl w:val="false"/>
              <w:spacing w:lineRule="auto" w:line="276" w:before="57" w:after="57"/>
              <w:ind w:left="0" w:right="0"/>
              <w:rPr>
                <w:rFonts w:ascii="Verdana" w:hAnsi="Verdana"/>
                <w:sz w:val="20"/>
                <w:szCs w:val="20"/>
              </w:rPr>
            </w:pPr>
            <w:r>
              <w:rPr>
                <w:rFonts w:eastAsia="Liberation Serif" w:cs="Liberation Serif" w:ascii="Verdana" w:hAnsi="Verdana"/>
                <w:b/>
                <w:color w:val="000000"/>
                <w:sz w:val="20"/>
                <w:szCs w:val="20"/>
              </w:rPr>
              <w:t>Autorizado por:</w:t>
            </w:r>
          </w:p>
        </w:tc>
      </w:tr>
      <w:tr>
        <w:trPr/>
        <w:tc>
          <w:tcPr>
            <w:tcW w:w="4873" w:type="dxa"/>
            <w:tcBorders/>
          </w:tcPr>
          <w:p>
            <w:pPr>
              <w:pStyle w:val="Normal"/>
              <w:widowControl w:val="false"/>
              <w:spacing w:lineRule="auto" w:line="276" w:before="57" w:after="57"/>
              <w:ind w:left="0" w:right="0"/>
              <w:rPr>
                <w:rFonts w:ascii="Verdana" w:hAnsi="Verdana" w:eastAsia="Liberation Serif" w:cs="Liberation Serif"/>
                <w:color w:val="000000"/>
                <w:sz w:val="20"/>
                <w:szCs w:val="20"/>
              </w:rPr>
            </w:pPr>
            <w:r>
              <w:rPr>
                <w:rFonts w:eastAsia="Liberation Serif" w:cs="Liberation Serif" w:ascii="Verdana" w:hAnsi="Verdana"/>
                <w:color w:val="000000"/>
                <w:sz w:val="20"/>
                <w:szCs w:val="20"/>
              </w:rPr>
            </w:r>
          </w:p>
        </w:tc>
        <w:tc>
          <w:tcPr>
            <w:tcW w:w="4872" w:type="dxa"/>
            <w:tcBorders/>
          </w:tcPr>
          <w:p>
            <w:pPr>
              <w:pStyle w:val="Normal"/>
              <w:widowControl w:val="false"/>
              <w:spacing w:lineRule="auto" w:line="276" w:before="57" w:after="57"/>
              <w:ind w:left="0" w:right="0"/>
              <w:rPr>
                <w:rFonts w:ascii="Verdana" w:hAnsi="Verdana" w:eastAsia="Liberation Serif" w:cs="Liberation Serif"/>
                <w:color w:val="000000"/>
                <w:sz w:val="20"/>
                <w:szCs w:val="20"/>
              </w:rPr>
            </w:pPr>
            <w:r>
              <w:rPr>
                <w:rFonts w:eastAsia="Liberation Serif" w:cs="Liberation Serif" w:ascii="Verdana" w:hAnsi="Verdana"/>
                <w:color w:val="000000"/>
                <w:sz w:val="20"/>
                <w:szCs w:val="20"/>
              </w:rPr>
            </w:r>
          </w:p>
        </w:tc>
      </w:tr>
      <w:tr>
        <w:trPr/>
        <w:tc>
          <w:tcPr>
            <w:tcW w:w="4873" w:type="dxa"/>
            <w:tcBorders/>
          </w:tcPr>
          <w:p>
            <w:pPr>
              <w:pStyle w:val="Normal"/>
              <w:spacing w:lineRule="auto" w:line="276" w:before="57" w:after="57"/>
              <w:ind w:left="0" w:right="0"/>
              <w:jc w:val="both"/>
              <w:rPr>
                <w:rFonts w:ascii="Verdana" w:hAnsi="Verdana"/>
                <w:sz w:val="20"/>
                <w:szCs w:val="20"/>
              </w:rPr>
            </w:pPr>
            <w:r>
              <w:rPr>
                <w:rFonts w:eastAsia="Arial" w:cs="Arial" w:ascii="Verdana" w:hAnsi="Verdana"/>
                <w:b/>
                <w:sz w:val="20"/>
                <w:szCs w:val="20"/>
              </w:rPr>
              <w:t>Rafaela Kruger Curitiba</w:t>
            </w:r>
          </w:p>
          <w:p>
            <w:pPr>
              <w:pStyle w:val="Normal"/>
              <w:spacing w:lineRule="auto" w:line="276" w:before="57" w:after="57"/>
              <w:ind w:left="0" w:right="0"/>
              <w:jc w:val="both"/>
              <w:rPr>
                <w:rFonts w:ascii="Verdana" w:hAnsi="Verdana"/>
                <w:sz w:val="20"/>
                <w:szCs w:val="20"/>
              </w:rPr>
            </w:pPr>
            <w:r>
              <w:rPr>
                <w:rFonts w:eastAsia="Arial" w:cs="Arial" w:ascii="Verdana" w:hAnsi="Verdana"/>
                <w:sz w:val="20"/>
                <w:szCs w:val="20"/>
              </w:rPr>
              <w:t>Auxiliar de Secretaria</w:t>
            </w:r>
          </w:p>
          <w:p>
            <w:pPr>
              <w:pStyle w:val="Normal"/>
              <w:spacing w:lineRule="auto" w:line="276" w:before="57" w:after="57"/>
              <w:ind w:left="0" w:right="0"/>
              <w:jc w:val="both"/>
              <w:rPr>
                <w:rFonts w:ascii="Verdana" w:hAnsi="Verdana"/>
                <w:sz w:val="20"/>
                <w:szCs w:val="20"/>
              </w:rPr>
            </w:pPr>
            <w:r>
              <w:rPr>
                <w:rFonts w:eastAsia="Arial" w:cs="Arial" w:ascii="Verdana" w:hAnsi="Verdana"/>
                <w:sz w:val="20"/>
                <w:szCs w:val="20"/>
              </w:rPr>
              <w:t>Mat. Nº4046</w:t>
            </w:r>
          </w:p>
        </w:tc>
        <w:tc>
          <w:tcPr>
            <w:tcW w:w="4872" w:type="dxa"/>
            <w:tcBorders/>
          </w:tcPr>
          <w:p>
            <w:pPr>
              <w:pStyle w:val="Normal"/>
              <w:spacing w:lineRule="auto" w:line="276" w:before="57" w:after="57"/>
              <w:ind w:left="0" w:right="0"/>
              <w:rPr>
                <w:rFonts w:ascii="Verdana" w:hAnsi="Verdana"/>
                <w:sz w:val="20"/>
                <w:szCs w:val="20"/>
              </w:rPr>
            </w:pPr>
            <w:r>
              <w:rPr>
                <w:rFonts w:eastAsia="Arial" w:cs="Arial" w:ascii="Verdana" w:hAnsi="Verdana"/>
                <w:b/>
                <w:sz w:val="20"/>
                <w:szCs w:val="20"/>
              </w:rPr>
              <w:t>JANE LISLIE MARTINELLI DOS SANTOS</w:t>
            </w:r>
          </w:p>
          <w:p>
            <w:pPr>
              <w:pStyle w:val="Normal"/>
              <w:spacing w:lineRule="auto" w:line="276" w:before="57" w:after="57"/>
              <w:ind w:left="0" w:right="0"/>
              <w:rPr>
                <w:rFonts w:ascii="Verdana" w:hAnsi="Verdana"/>
                <w:sz w:val="20"/>
                <w:szCs w:val="20"/>
              </w:rPr>
            </w:pPr>
            <w:r>
              <w:rPr>
                <w:rFonts w:eastAsia="Arial" w:cs="Arial" w:ascii="Verdana" w:hAnsi="Verdana"/>
                <w:sz w:val="20"/>
                <w:szCs w:val="20"/>
              </w:rPr>
              <w:t>Secretária Municipal de Educação Interina</w:t>
            </w:r>
          </w:p>
          <w:p>
            <w:pPr>
              <w:pStyle w:val="Normal"/>
              <w:spacing w:lineRule="auto" w:line="276" w:before="57" w:after="57"/>
              <w:ind w:left="0" w:right="0"/>
              <w:rPr>
                <w:rFonts w:ascii="Verdana" w:hAnsi="Verdana"/>
                <w:sz w:val="20"/>
                <w:szCs w:val="20"/>
              </w:rPr>
            </w:pPr>
            <w:r>
              <w:rPr>
                <w:rFonts w:eastAsia="Arial" w:cs="Arial" w:ascii="Verdana" w:hAnsi="Verdana"/>
                <w:b/>
                <w:sz w:val="20"/>
                <w:szCs w:val="20"/>
              </w:rPr>
              <w:t xml:space="preserve">Decreto </w:t>
            </w:r>
            <w:r>
              <w:rPr>
                <w:rFonts w:eastAsia="Arial" w:cs="Arial" w:ascii="Verdana" w:hAnsi="Verdana"/>
                <w:b/>
                <w:sz w:val="20"/>
                <w:szCs w:val="20"/>
                <w:shd w:fill="FFFFFF" w:val="clear"/>
              </w:rPr>
              <w:t>Nº 4.675/2025</w:t>
            </w:r>
          </w:p>
        </w:tc>
      </w:tr>
    </w:tbl>
    <w:p>
      <w:pPr>
        <w:pStyle w:val="Normal"/>
        <w:spacing w:lineRule="auto" w:line="276" w:before="57" w:after="57"/>
        <w:ind w:left="0" w:right="0"/>
        <w:jc w:val="both"/>
        <w:rPr>
          <w:rFonts w:ascii="Verdana" w:hAnsi="Verdana"/>
          <w:b/>
          <w:color w:val="0000FF"/>
          <w:sz w:val="20"/>
          <w:szCs w:val="20"/>
        </w:rPr>
      </w:pPr>
      <w:r>
        <w:rPr>
          <w:rFonts w:ascii="Verdana" w:hAnsi="Verdana"/>
          <w:b/>
          <w:color w:val="0000FF"/>
          <w:sz w:val="20"/>
          <w:szCs w:val="20"/>
        </w:rPr>
      </w:r>
    </w:p>
    <w:sectPr>
      <w:headerReference w:type="default" r:id="rId2"/>
      <w:footerReference w:type="default" r:id="rId3"/>
      <w:type w:val="nextPage"/>
      <w:pgSz w:w="11906" w:h="16838"/>
      <w:pgMar w:left="1417" w:right="1134" w:gutter="0" w:header="692" w:top="1765" w:footer="512" w:bottom="903"/>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Symbol">
    <w:charset w:val="00"/>
    <w:family w:val="roman"/>
    <w:pitch w:val="variable"/>
    <w:embedRegular r:id="rId5" w:fontKey="{05014A78-CABC-4EF0-12AC-5CD89AEFDE05}"/>
  </w:font>
  <w:font w:name="Courier New">
    <w:charset w:val="00"/>
    <w:family w:val="roman"/>
    <w:pitch w:val="variable"/>
    <w:embedRegular r:id="rId14" w:fontKey="{0E014A78-CABC-4EF0-12AC-5CD89AEFDE0E}"/>
  </w:font>
  <w:font w:name="Tahoma">
    <w:charset w:val="00"/>
    <w:family w:val="roman"/>
    <w:pitch w:val="variable"/>
    <w:embedRegular r:id="rId15" w:fontKey="{0F014A78-CABC-4EF0-12AC-5CD89AEFDE0F}"/>
  </w:font>
  <w:font w:name="Liberation Sans">
    <w:altName w:val="Arial"/>
    <w:charset w:val="00"/>
    <w:family w:val="roman"/>
    <w:pitch w:val="variable"/>
    <w:embedRegular r:id="rId16" w:fontKey="{10014A78-CABC-4EF0-12AC-5CD89AEFDE10}"/>
  </w:font>
  <w:font w:name="OpenSymbol">
    <w:altName w:val="Arial Unicode MS"/>
    <w:charset w:val="00"/>
    <w:family w:val="roman"/>
    <w:pitch w:val="variable"/>
    <w:embedRegular r:id="rId17" w:fontKey="{11014A78-CABC-4EF0-12AC-5CD89AEFDE11}"/>
    <w:embedBold r:id="rId18" w:fontKey="{12014A78-CABC-4EF0-12AC-5CD89AEFDE12}"/>
  </w:font>
  <w:font w:name="Arial">
    <w:charset w:val="00"/>
    <w:family w:val="roman"/>
    <w:pitch w:val="variable"/>
  </w:font>
  <w:font w:name="Calibri">
    <w:charset w:val="00"/>
    <w:family w:val="roman"/>
    <w:pitch w:val="variable"/>
    <w:embedRegular r:id="rId19" w:fontKey="{13014A78-CABC-4EF0-12AC-5CD89AEFDE13}"/>
  </w:font>
  <w:font w:name="IPMDOI+TimesNewRoman">
    <w:charset w:val="00"/>
    <w:family w:val="roman"/>
    <w:pitch w:val="variable"/>
  </w:font>
  <w:font w:name="Univers 45 Light">
    <w:charset w:val="00"/>
    <w:family w:val="roman"/>
    <w:pitch w:val="variable"/>
  </w:font>
  <w:font w:name="Georgia">
    <w:charset w:val="00"/>
    <w:family w:val="roman"/>
    <w:pitch w:val="variable"/>
    <w:embedRegular r:id="rId20" w:fontKey="{14014A78-CABC-4EF0-12AC-5CD89AEFDE14}"/>
    <w:embedBold r:id="rId21" w:fontKey="{15014A78-CABC-4EF0-12AC-5CD89AEFDE15}"/>
    <w:embedItalic r:id="rId22" w:fontKey="{16014A78-CABC-4EF0-12AC-5CD89AEFDE16}"/>
    <w:embedBoldItalic r:id="rId23" w:fontKey="{17014A78-CABC-4EF0-12AC-5CD89AEFDE17}"/>
  </w:font>
  <w:font w:name="Verdana">
    <w:charset w:val="00"/>
    <w:family w:val="roman"/>
    <w:pitch w:val="variable"/>
    <w:embedRegular r:id="rId24" w:fontKey="{18014A78-CABC-4EF0-12AC-5CD89AEFDE18}"/>
  </w:font>
  <w:font w:name="Arial Narrow">
    <w:charset w:val="00"/>
    <w:family w:val="roman"/>
    <w:pitch w:val="variable"/>
    <w:embedRegular r:id="rId25" w:fontKey="{19014A78-CABC-4EF0-12AC-5CD89AEFDE19}"/>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Verdana" w:hAnsi="Verdana"/>
        <w:sz w:val="16"/>
        <w:szCs w:val="16"/>
      </w:rPr>
    </w:pPr>
    <w:r>
      <w:rPr>
        <w:rFonts w:eastAsia="Calibri" w:cs="Calibri" w:ascii="Verdana" w:hAnsi="Verdana"/>
        <w:b/>
        <w:sz w:val="16"/>
        <w:szCs w:val="16"/>
        <w:shd w:fill="FFFFFF" w:val="clear"/>
      </w:rPr>
      <w:t>Praça Vicente Glazar, 159 | São Gabriel da Palha-ES | CEP 29780 000</w:t>
    </w:r>
  </w:p>
  <w:p>
    <w:pPr>
      <w:pStyle w:val="Normal"/>
      <w:jc w:val="center"/>
      <w:rPr/>
    </w:pPr>
    <w:r>
      <w:rPr>
        <w:rFonts w:eastAsia="Calibri" w:cs="Calibri" w:ascii="Verdana" w:hAnsi="Verdana"/>
        <w:b/>
        <w:sz w:val="16"/>
        <w:szCs w:val="16"/>
        <w:shd w:fill="FFFFFF" w:val="clear"/>
      </w:rPr>
      <w:t xml:space="preserve">Fone/Fax (027) 99574-4758| E-mail: </w:t>
    </w:r>
    <w:hyperlink r:id="rId1">
      <w:r>
        <w:rPr>
          <w:rStyle w:val="ListLabel1"/>
          <w:rFonts w:eastAsia="Calibri" w:cs="Calibri" w:ascii="Verdana" w:hAnsi="Verdana"/>
          <w:sz w:val="16"/>
          <w:szCs w:val="16"/>
          <w:u w:val="single"/>
          <w:shd w:fill="FFFFFF" w:val="clear"/>
        </w:rPr>
        <w:t>financeirosemecsgp@gmail.com</w:t>
      </w:r>
    </w:hyperlink>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drawing>
        <wp:anchor behindDoc="1" distT="0" distB="0" distL="152400" distR="120015" simplePos="0" locked="0" layoutInCell="0" allowOverlap="1" relativeHeight="12">
          <wp:simplePos x="0" y="0"/>
          <wp:positionH relativeFrom="column">
            <wp:posOffset>-165100</wp:posOffset>
          </wp:positionH>
          <wp:positionV relativeFrom="paragraph">
            <wp:posOffset>-22225</wp:posOffset>
          </wp:positionV>
          <wp:extent cx="644525" cy="542290"/>
          <wp:effectExtent l="0" t="0" r="0" b="0"/>
          <wp:wrapSquare wrapText="bothSides"/>
          <wp:docPr id="1"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settings.xml><?xml version="1.0" encoding="utf-8"?>
<w:settings xmlns:w="http://schemas.openxmlformats.org/wordprocessingml/2006/main">
  <w:zoom w:percent="130"/>
  <w:displayBackgroundShape/>
  <w:embedTrueTypeFonts/>
  <w:defaultTabStop w:val="720"/>
  <w:autoHyphenation w:val="true"/>
  <w:compat>
    <w:compatSetting w:name="compatibilityMode" w:uri="http://schemas.microsoft.com/office/word" w:val="12"/>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style w:type="paragraph" w:styleId="Normal">
    <w:name w:val="Normal"/>
    <w:qFormat/>
    <w:pPr>
      <w:widowControl/>
      <w:suppressAutoHyphens w:val="true"/>
      <w:kinsoku w:val="true"/>
      <w:overflowPunct w:val="true"/>
      <w:autoSpaceDE w:val="true"/>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Heading1">
    <w:name w:val="Heading 1"/>
    <w:basedOn w:val="Normal"/>
    <w:next w:val="Normal"/>
    <w:qFormat/>
    <w:pPr>
      <w:keepNext w:val="true"/>
      <w:numPr>
        <w:ilvl w:val="0"/>
        <w:numId w:val="0"/>
      </w:numPr>
      <w:tabs>
        <w:tab w:val="clear" w:pos="720"/>
        <w:tab w:val="left" w:pos="0" w:leader="none"/>
      </w:tabs>
      <w:ind w:hanging="432" w:left="432"/>
      <w:jc w:val="center"/>
      <w:outlineLvl w:val="0"/>
    </w:pPr>
    <w:rPr>
      <w:b/>
      <w:sz w:val="24"/>
      <w:szCs w:val="24"/>
    </w:rPr>
  </w:style>
  <w:style w:type="paragraph" w:styleId="Heading2">
    <w:name w:val="Heading 2"/>
    <w:basedOn w:val="Normal"/>
    <w:next w:val="Normal"/>
    <w:qFormat/>
    <w:pPr>
      <w:keepNext w:val="true"/>
      <w:numPr>
        <w:ilvl w:val="0"/>
        <w:numId w:val="0"/>
      </w:numPr>
      <w:tabs>
        <w:tab w:val="clear" w:pos="720"/>
        <w:tab w:val="left" w:pos="0" w:leader="none"/>
      </w:tabs>
      <w:ind w:hanging="576" w:left="576"/>
      <w:outlineLvl w:val="1"/>
    </w:pPr>
    <w:rPr>
      <w:b/>
      <w:sz w:val="24"/>
      <w:szCs w:val="24"/>
      <w:u w:val="single"/>
    </w:rPr>
  </w:style>
  <w:style w:type="paragraph" w:styleId="Heading3">
    <w:name w:val="Heading 3"/>
    <w:basedOn w:val="Normal"/>
    <w:next w:val="Normal"/>
    <w:qFormat/>
    <w:pPr>
      <w:keepNext w:val="true"/>
      <w:numPr>
        <w:ilvl w:val="0"/>
        <w:numId w:val="0"/>
      </w:numPr>
      <w:jc w:val="both"/>
      <w:outlineLvl w:val="2"/>
    </w:pPr>
    <w:rPr>
      <w:b/>
      <w:color w:val="00000A"/>
    </w:rPr>
  </w:style>
  <w:style w:type="paragraph" w:styleId="Heading4">
    <w:name w:val="Heading 4"/>
    <w:basedOn w:val="Normal"/>
    <w:next w:val="Normal"/>
    <w:qFormat/>
    <w:pPr>
      <w:keepNext w:val="true"/>
      <w:numPr>
        <w:ilvl w:val="0"/>
        <w:numId w:val="0"/>
      </w:numPr>
      <w:tabs>
        <w:tab w:val="clear" w:pos="720"/>
        <w:tab w:val="left" w:pos="0" w:leader="none"/>
      </w:tabs>
      <w:ind w:hanging="864" w:left="864"/>
      <w:outlineLvl w:val="3"/>
    </w:pPr>
    <w:rPr>
      <w:sz w:val="24"/>
      <w:szCs w:val="24"/>
    </w:rPr>
  </w:style>
  <w:style w:type="paragraph" w:styleId="Heading5">
    <w:name w:val="Heading 5"/>
    <w:basedOn w:val="Normal"/>
    <w:next w:val="Normal"/>
    <w:qFormat/>
    <w:pPr>
      <w:keepNext w:val="true"/>
      <w:keepLines/>
      <w:numPr>
        <w:ilvl w:val="0"/>
        <w:numId w:val="0"/>
      </w:numPr>
      <w:spacing w:before="220" w:after="40"/>
      <w:outlineLvl w:val="4"/>
    </w:pPr>
    <w:rPr>
      <w:b/>
      <w:sz w:val="22"/>
      <w:szCs w:val="22"/>
    </w:rPr>
  </w:style>
  <w:style w:type="paragraph" w:styleId="Heading6">
    <w:name w:val="Heading 6"/>
    <w:basedOn w:val="Normal"/>
    <w:next w:val="Normal"/>
    <w:qFormat/>
    <w:pPr>
      <w:keepNext w:val="true"/>
      <w:keepLines/>
      <w:numPr>
        <w:ilvl w:val="0"/>
        <w:numId w:val="0"/>
      </w:numPr>
      <w:spacing w:before="200" w:after="40"/>
      <w:outlineLvl w:val="5"/>
    </w:pPr>
    <w:rPr>
      <w:b/>
    </w:rPr>
  </w:style>
  <w:style w:type="paragraph" w:styleId="Heading8">
    <w:name w:val="Heading 8"/>
    <w:basedOn w:val="Normal"/>
    <w:next w:val="Normal"/>
    <w:qFormat/>
    <w:pPr>
      <w:numPr>
        <w:ilvl w:val="0"/>
        <w:numId w:val="0"/>
      </w:numPr>
      <w:tabs>
        <w:tab w:val="clear" w:pos="720"/>
        <w:tab w:val="left" w:pos="0" w:leader="none"/>
      </w:tabs>
      <w:spacing w:before="240" w:after="60"/>
      <w:ind w:hanging="1440" w:left="1440"/>
      <w:outlineLvl w:val="7"/>
    </w:pPr>
    <w:rPr>
      <w:i/>
      <w:iCs/>
      <w:sz w:val="24"/>
      <w:szCs w:val="24"/>
    </w:rPr>
  </w:style>
  <w:style w:type="character" w:styleId="DefaultParagraphFont">
    <w:name w:val="Default Paragraph Font"/>
    <w:qFormat/>
    <w:rPr/>
  </w:style>
  <w:style w:type="character" w:styleId="WW8Num1z0">
    <w:name w:val="WW8Num1z0"/>
    <w:qFormat/>
    <w:rPr>
      <w:rFonts w:ascii="Symbol" w:hAnsi="Symbol" w:eastAsia="Times New Roman" w:cs="Times New Roman"/>
    </w:rPr>
  </w:style>
  <w:style w:type="character" w:styleId="WW8Num1z1">
    <w:name w:val="WW8Num1z1"/>
    <w:qFormat/>
    <w:rPr>
      <w:rFonts w:ascii="Courier New" w:hAnsi="Courier New" w:cs="Courier New"/>
    </w:rPr>
  </w:style>
  <w:style w:type="character" w:styleId="WW8Num1z2">
    <w:name w:val="WW8Num1z2"/>
    <w:qFormat/>
    <w:rPr/>
  </w:style>
  <w:style w:type="character" w:styleId="WW8Num1z3">
    <w:name w:val="WW8Num1z3"/>
    <w:qFormat/>
    <w:rPr>
      <w:rFonts w:ascii="Symbol" w:hAnsi="Symbol" w:cs="Symbol"/>
    </w:rPr>
  </w:style>
  <w:style w:type="character" w:styleId="WW8Num1z4">
    <w:name w:val="WW8Num1z4"/>
    <w:qFormat/>
    <w:rPr/>
  </w:style>
  <w:style w:type="character" w:styleId="WW8Num1z5">
    <w:name w:val="WW8Num1z5"/>
    <w:qFormat/>
    <w:rPr/>
  </w:style>
  <w:style w:type="character" w:styleId="WW8Num1z6">
    <w:name w:val="WW8Num1z6"/>
    <w:qFormat/>
    <w:rPr/>
  </w:style>
  <w:style w:type="character" w:styleId="WW8Num1z7">
    <w:name w:val="WW8Num1z7"/>
    <w:qFormat/>
    <w:rPr/>
  </w:style>
  <w:style w:type="character" w:styleId="WW8Num1z8">
    <w:name w:val="WW8Num1z8"/>
    <w:qFormat/>
    <w:rPr/>
  </w:style>
  <w:style w:type="character" w:styleId="WW8Num2z0">
    <w:name w:val="WW8Num2z0"/>
    <w:qFormat/>
    <w:rPr>
      <w:rFonts w:ascii="Times New Roman" w:hAnsi="Times New Roman" w:cs="Times New Roman"/>
      <w:b/>
      <w:sz w:val="24"/>
    </w:rPr>
  </w:style>
  <w:style w:type="character" w:styleId="WW8Num2z1">
    <w:name w:val="WW8Num2z1"/>
    <w:qFormat/>
    <w:rPr>
      <w:rFonts w:ascii="Times New Roman" w:hAnsi="Times New Roman" w:cs="Times New Roman"/>
      <w:b w:val="false"/>
      <w:sz w:val="24"/>
    </w:rPr>
  </w:style>
  <w:style w:type="character" w:styleId="WW8Num3z0">
    <w:name w:val="WW8Num3z0"/>
    <w:qFormat/>
    <w:rPr>
      <w:vanish/>
    </w:rPr>
  </w:style>
  <w:style w:type="character" w:styleId="Fontepargpadro3">
    <w:name w:val="Fonte parág. padrão3"/>
    <w:qFormat/>
    <w:rPr/>
  </w:style>
  <w:style w:type="character" w:styleId="Fontepargpadro2">
    <w:name w:val="Fonte parág. padrão2"/>
    <w:qFormat/>
    <w:rPr/>
  </w:style>
  <w:style w:type="character" w:styleId="WW8Num4z0">
    <w:name w:val="WW8Num4z0"/>
    <w:qFormat/>
    <w:rPr>
      <w:b/>
    </w:rPr>
  </w:style>
  <w:style w:type="character" w:styleId="WW8Num4z1">
    <w:name w:val="WW8Num4z1"/>
    <w:qFormat/>
    <w:rPr/>
  </w:style>
  <w:style w:type="character" w:styleId="WW8Num4z2">
    <w:name w:val="WW8Num4z2"/>
    <w:qFormat/>
    <w:rPr/>
  </w:style>
  <w:style w:type="character" w:styleId="WW8Num4z3">
    <w:name w:val="WW8Num4z3"/>
    <w:qFormat/>
    <w:rPr/>
  </w:style>
  <w:style w:type="character" w:styleId="WW8Num4z4">
    <w:name w:val="WW8Num4z4"/>
    <w:qFormat/>
    <w:rPr/>
  </w:style>
  <w:style w:type="character" w:styleId="WW8Num4z5">
    <w:name w:val="WW8Num4z5"/>
    <w:qFormat/>
    <w:rPr/>
  </w:style>
  <w:style w:type="character" w:styleId="WW8Num4z6">
    <w:name w:val="WW8Num4z6"/>
    <w:qFormat/>
    <w:rPr/>
  </w:style>
  <w:style w:type="character" w:styleId="WW8Num4z7">
    <w:name w:val="WW8Num4z7"/>
    <w:qFormat/>
    <w:rPr/>
  </w:style>
  <w:style w:type="character" w:styleId="WW8Num4z8">
    <w:name w:val="WW8Num4z8"/>
    <w:qFormat/>
    <w:rPr/>
  </w:style>
  <w:style w:type="character" w:styleId="WW8Num5z0">
    <w:name w:val="WW8Num5z0"/>
    <w:qFormat/>
    <w:rPr/>
  </w:style>
  <w:style w:type="character" w:styleId="WW8Num5z1">
    <w:name w:val="WW8Num5z1"/>
    <w:qFormat/>
    <w:rPr>
      <w:color w:val="auto"/>
      <w:sz w:val="24"/>
      <w:szCs w:val="24"/>
    </w:rPr>
  </w:style>
  <w:style w:type="character" w:styleId="Fontepargpadro1">
    <w:name w:val="Fonte parág. padrão1"/>
    <w:qFormat/>
    <w:rPr/>
  </w:style>
  <w:style w:type="character" w:styleId="CabealhoChar">
    <w:name w:val="Cabeçalho Char"/>
    <w:qFormat/>
    <w:rPr>
      <w:sz w:val="24"/>
    </w:rPr>
  </w:style>
  <w:style w:type="character" w:styleId="RodapChar">
    <w:name w:val="Rodapé Char"/>
    <w:qFormat/>
    <w:rPr>
      <w:sz w:val="24"/>
    </w:rPr>
  </w:style>
  <w:style w:type="character" w:styleId="PageNumber">
    <w:name w:val="Page Number"/>
    <w:basedOn w:val="Fontepargpadro1"/>
    <w:rPr/>
  </w:style>
  <w:style w:type="character" w:styleId="InternetLink">
    <w:name w:val="Internet Link"/>
    <w:qFormat/>
    <w:rPr>
      <w:color w:val="0000FF"/>
      <w:u w:val="single"/>
    </w:rPr>
  </w:style>
  <w:style w:type="character" w:styleId="Caracteresdenotaderodap">
    <w:name w:val="Caracteres de nota de rodapé"/>
    <w:qFormat/>
    <w:rPr>
      <w:vertAlign w:val="superscript"/>
    </w:rPr>
  </w:style>
  <w:style w:type="character" w:styleId="Corpodetexto3Char">
    <w:name w:val="Corpo de texto 3 Char"/>
    <w:qFormat/>
    <w:rPr>
      <w:sz w:val="16"/>
      <w:szCs w:val="16"/>
    </w:rPr>
  </w:style>
  <w:style w:type="character" w:styleId="Corpodetexto2Char">
    <w:name w:val="Corpo de texto 2 Char"/>
    <w:basedOn w:val="Fontepargpadro1"/>
    <w:qFormat/>
    <w:rPr/>
  </w:style>
  <w:style w:type="character" w:styleId="TextodebaloChar">
    <w:name w:val="Texto de balão Char"/>
    <w:qFormat/>
    <w:rPr>
      <w:rFonts w:ascii="Tahoma" w:hAnsi="Tahoma" w:cs="Tahoma"/>
      <w:sz w:val="16"/>
      <w:szCs w:val="16"/>
    </w:rPr>
  </w:style>
  <w:style w:type="character" w:styleId="Smbolosdenumerao">
    <w:name w:val="Símbolos de numeração"/>
    <w:qFormat/>
    <w:rPr/>
  </w:style>
  <w:style w:type="character" w:styleId="Ttulo3Char">
    <w:name w:val="Título 3 Char"/>
    <w:qFormat/>
    <w:rPr>
      <w:b/>
      <w:color w:val="00000A"/>
    </w:rPr>
  </w:style>
  <w:style w:type="character" w:styleId="Recuodecorpodetexto3Char">
    <w:name w:val="Recuo de corpo de texto 3 Char"/>
    <w:qFormat/>
    <w:rPr>
      <w:sz w:val="16"/>
      <w:szCs w:val="16"/>
    </w:rPr>
  </w:style>
  <w:style w:type="character" w:styleId="Ttulo8Char">
    <w:name w:val="Título 8 Char"/>
    <w:qFormat/>
    <w:rPr>
      <w:i/>
      <w:iCs/>
      <w:sz w:val="24"/>
      <w:szCs w:val="24"/>
      <w:lang w:eastAsia="zh-CN"/>
    </w:rPr>
  </w:style>
  <w:style w:type="character" w:styleId="TtuloChar">
    <w:name w:val="Título Char"/>
    <w:qFormat/>
    <w:rPr>
      <w:rFonts w:ascii="Liberation Sans" w:hAnsi="Liberation Sans" w:eastAsia="Microsoft YaHei" w:cs="Lucida Sans"/>
      <w:color w:val="00000A"/>
      <w:sz w:val="28"/>
      <w:szCs w:val="28"/>
    </w:rPr>
  </w:style>
  <w:style w:type="character" w:styleId="Recuodecorpodetexto3Char1">
    <w:name w:val="Recuo de corpo de texto 3 Char1"/>
    <w:qFormat/>
    <w:rPr>
      <w:sz w:val="16"/>
      <w:szCs w:val="16"/>
      <w:lang w:eastAsia="zh-CN"/>
    </w:rPr>
  </w:style>
  <w:style w:type="character" w:styleId="Ttulo1Char">
    <w:name w:val="Título 1 Char"/>
    <w:qFormat/>
    <w:rPr>
      <w:b/>
      <w:bCs/>
      <w:sz w:val="24"/>
      <w:lang w:eastAsia="zh-CN"/>
    </w:rPr>
  </w:style>
  <w:style w:type="character" w:styleId="Ttulo2Char">
    <w:name w:val="Título 2 Char"/>
    <w:qFormat/>
    <w:rPr>
      <w:b/>
      <w:bCs/>
      <w:sz w:val="24"/>
      <w:u w:val="single"/>
      <w:lang w:eastAsia="zh-CN"/>
    </w:rPr>
  </w:style>
  <w:style w:type="character" w:styleId="Ttulo4Char">
    <w:name w:val="Título 4 Char"/>
    <w:qFormat/>
    <w:rPr>
      <w:sz w:val="24"/>
      <w:lang w:eastAsia="zh-CN"/>
    </w:rPr>
  </w:style>
  <w:style w:type="character" w:styleId="CorpodetextoChar">
    <w:name w:val="Corpo de texto Char"/>
    <w:qFormat/>
    <w:rPr>
      <w:lang w:eastAsia="zh-CN"/>
    </w:rPr>
  </w:style>
  <w:style w:type="character" w:styleId="CabealhoChar1">
    <w:name w:val="Cabeçalho Char1"/>
    <w:qFormat/>
    <w:rPr>
      <w:sz w:val="24"/>
      <w:lang w:eastAsia="zh-CN"/>
    </w:rPr>
  </w:style>
  <w:style w:type="character" w:styleId="RodapChar1">
    <w:name w:val="Rodapé Char1"/>
    <w:qFormat/>
    <w:rPr>
      <w:sz w:val="24"/>
      <w:lang w:eastAsia="zh-CN"/>
    </w:rPr>
  </w:style>
  <w:style w:type="character" w:styleId="TextodebaloChar1">
    <w:name w:val="Texto de balão Char1"/>
    <w:qFormat/>
    <w:rPr>
      <w:rFonts w:ascii="Tahoma" w:hAnsi="Tahoma" w:cs="Tahoma"/>
      <w:sz w:val="16"/>
      <w:szCs w:val="16"/>
      <w:lang w:eastAsia="zh-CN"/>
    </w:rPr>
  </w:style>
  <w:style w:type="character" w:styleId="TextodenotaderodapChar">
    <w:name w:val="Texto de nota de rodapé Char"/>
    <w:qFormat/>
    <w:rPr>
      <w:lang w:eastAsia="zh-CN"/>
    </w:rPr>
  </w:style>
  <w:style w:type="character" w:styleId="TtuloChar1">
    <w:name w:val="Título Char1"/>
    <w:qFormat/>
    <w:rPr>
      <w:rFonts w:ascii="Liberation Sans" w:hAnsi="Liberation Sans" w:eastAsia="Microsoft YaHei" w:cs="Lucida Sans"/>
      <w:color w:val="00000A"/>
      <w:sz w:val="28"/>
      <w:szCs w:val="28"/>
      <w:lang w:eastAsia="zh-CN"/>
    </w:rPr>
  </w:style>
  <w:style w:type="character" w:styleId="FootnoteReference">
    <w:name w:val="Footnote Reference"/>
    <w:rPr>
      <w:vertAlign w:val="superscript"/>
    </w:rPr>
  </w:style>
  <w:style w:type="character" w:styleId="FootnoteCharacters">
    <w:name w:val="Footnote Characters"/>
    <w:qFormat/>
    <w:rPr>
      <w:vertAlign w:val="superscript"/>
    </w:rPr>
  </w:style>
  <w:style w:type="character" w:styleId="FootnoteCharacters1">
    <w:name w:val="Footnote Characters1"/>
    <w:qFormat/>
    <w:rPr>
      <w:vertAlign w:val="superscript"/>
    </w:rPr>
  </w:style>
  <w:style w:type="character" w:styleId="FootnoteCharacters11">
    <w:name w:val="Footnote Characters11"/>
    <w:qFormat/>
    <w:rPr>
      <w:vertAlign w:val="superscript"/>
    </w:rPr>
  </w:style>
  <w:style w:type="character" w:styleId="FootnoteCharacters111">
    <w:name w:val="Footnote Characters111"/>
    <w:basedOn w:val="DefaultParagraphFont"/>
    <w:qFormat/>
    <w:rPr>
      <w:vertAlign w:val="superscript"/>
    </w:rPr>
  </w:style>
  <w:style w:type="character" w:styleId="LineNumbering">
    <w:name w:val="Line Numbering"/>
    <w:qFormat/>
    <w:rPr/>
  </w:style>
  <w:style w:type="character" w:styleId="WW8Num3z1">
    <w:name w:val="WW8Num3z1"/>
    <w:qFormat/>
    <w:rPr>
      <w:rFonts w:ascii="OpenSymbol;Arial Unicode MS" w:hAnsi="OpenSymbol;Arial Unicode MS" w:cs="Courier New"/>
    </w:rPr>
  </w:style>
  <w:style w:type="character" w:styleId="InternetLink1">
    <w:name w:val="Internet Link1"/>
    <w:qFormat/>
    <w:rPr>
      <w:color w:val="000080"/>
      <w:u w:val="single"/>
    </w:rPr>
  </w:style>
  <w:style w:type="character" w:styleId="InternetLink2">
    <w:name w:val="Internet Link2"/>
    <w:qFormat/>
    <w:rPr>
      <w:color w:val="000080"/>
      <w:u w:val="single"/>
    </w:rPr>
  </w:style>
  <w:style w:type="character" w:styleId="Hyperlink">
    <w:name w:val="Hyperlink"/>
    <w:rPr>
      <w:color w:val="000080"/>
      <w:u w:val="single"/>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before="0" w:after="12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Title">
    <w:name w:val="Title"/>
    <w:basedOn w:val="Normal"/>
    <w:next w:val="BodyText"/>
    <w:qFormat/>
    <w:pPr>
      <w:keepNext w:val="true"/>
      <w:spacing w:before="240" w:after="120"/>
    </w:pPr>
    <w:rPr>
      <w:rFonts w:ascii="Liberation Sans" w:hAnsi="Liberation Sans" w:eastAsia="Microsoft YaHei" w:cs="Arial"/>
      <w:sz w:val="28"/>
      <w:szCs w:val="28"/>
    </w:rPr>
  </w:style>
  <w:style w:type="paragraph" w:styleId="Ttulo3">
    <w:name w:val="Título3"/>
    <w:basedOn w:val="Normal"/>
    <w:next w:val="BodyText"/>
    <w:qFormat/>
    <w:pPr>
      <w:keepNext w:val="true"/>
      <w:spacing w:before="240" w:after="120"/>
    </w:pPr>
    <w:rPr>
      <w:rFonts w:ascii="Liberation Sans" w:hAnsi="Liberation Sans" w:eastAsia="Microsoft YaHei" w:cs="Lucida Sans"/>
      <w:color w:val="00000A"/>
      <w:sz w:val="28"/>
      <w:szCs w:val="28"/>
    </w:rPr>
  </w:style>
  <w:style w:type="paragraph" w:styleId="Ttulo2">
    <w:name w:val="Título2"/>
    <w:basedOn w:val="Normal"/>
    <w:next w:val="BodyText"/>
    <w:qFormat/>
    <w:pPr>
      <w:keepNext w:val="true"/>
      <w:spacing w:before="240" w:after="120"/>
    </w:pPr>
    <w:rPr>
      <w:rFonts w:ascii="Liberation Sans" w:hAnsi="Liberation Sans" w:eastAsia="Microsoft YaHei" w:cs="Lucida Sans"/>
      <w:sz w:val="28"/>
      <w:szCs w:val="28"/>
    </w:rPr>
  </w:style>
  <w:style w:type="paragraph" w:styleId="Ttulo1">
    <w:name w:val="Título1"/>
    <w:basedOn w:val="Normal"/>
    <w:next w:val="BodyText"/>
    <w:qFormat/>
    <w:pPr>
      <w:keepNext w:val="true"/>
      <w:spacing w:before="240" w:after="120"/>
    </w:pPr>
    <w:rPr>
      <w:rFonts w:ascii="Arial" w:hAnsi="Arial" w:eastAsia="Arial Unicode MS" w:cs="Lucida Sans"/>
      <w:sz w:val="28"/>
      <w:szCs w:val="28"/>
    </w:rPr>
  </w:style>
  <w:style w:type="paragraph" w:styleId="Legenda1">
    <w:name w:val="Legenda1"/>
    <w:basedOn w:val="Normal"/>
    <w:qFormat/>
    <w:pPr>
      <w:suppressLineNumbers/>
      <w:spacing w:before="120" w:after="120"/>
    </w:pPr>
    <w:rPr>
      <w:rFonts w:cs="Lucida Sans"/>
      <w:i/>
      <w:iCs/>
      <w:sz w:val="24"/>
      <w:szCs w:val="24"/>
    </w:rPr>
  </w:style>
  <w:style w:type="paragraph" w:styleId="CabealhoeRodap">
    <w:name w:val="Cabeçalho e Rodapé"/>
    <w:basedOn w:val="Normal"/>
    <w:qFormat/>
    <w:pPr/>
    <w:rPr/>
  </w:style>
  <w:style w:type="paragraph" w:styleId="Cabealhoerodap1">
    <w:name w:val="Cabeçalho e rodapé1"/>
    <w:basedOn w:val="Normal"/>
    <w:qFormat/>
    <w:pPr/>
    <w:rPr/>
  </w:style>
  <w:style w:type="paragraph" w:styleId="Cabealhoerodap2">
    <w:name w:val="Cabeçalho e rodapé2"/>
    <w:basedOn w:val="Normal"/>
    <w:qFormat/>
    <w:pPr/>
    <w:rPr/>
  </w:style>
  <w:style w:type="paragraph" w:styleId="Cabealhoerodap3">
    <w:name w:val="Cabeçalho e rodapé3"/>
    <w:basedOn w:val="Normal"/>
    <w:qFormat/>
    <w:pPr/>
    <w:rPr/>
  </w:style>
  <w:style w:type="paragraph" w:styleId="Header">
    <w:name w:val="Header"/>
    <w:basedOn w:val="Normal"/>
    <w:pPr>
      <w:tabs>
        <w:tab w:val="clear" w:pos="720"/>
        <w:tab w:val="center" w:pos="4419" w:leader="none"/>
        <w:tab w:val="right" w:pos="8838" w:leader="none"/>
      </w:tabs>
      <w:overflowPunct w:val="true"/>
      <w:textAlignment w:val="baseline"/>
    </w:pPr>
    <w:rPr>
      <w:sz w:val="24"/>
    </w:rPr>
  </w:style>
  <w:style w:type="paragraph" w:styleId="Footer">
    <w:name w:val="Footer"/>
    <w:basedOn w:val="Normal"/>
    <w:pPr>
      <w:tabs>
        <w:tab w:val="clear" w:pos="720"/>
        <w:tab w:val="center" w:pos="4419" w:leader="none"/>
        <w:tab w:val="right" w:pos="8838" w:leader="none"/>
      </w:tabs>
      <w:overflowPunct w:val="true"/>
      <w:textAlignment w:val="baseline"/>
    </w:pPr>
    <w:rPr>
      <w:sz w:val="24"/>
    </w:rPr>
  </w:style>
  <w:style w:type="paragraph" w:styleId="BalloonText">
    <w:name w:val="Balloon Text"/>
    <w:basedOn w:val="Normal"/>
    <w:qFormat/>
    <w:pPr/>
    <w:rPr>
      <w:rFonts w:ascii="Tahoma" w:hAnsi="Tahoma" w:cs="Tahoma"/>
      <w:sz w:val="16"/>
      <w:szCs w:val="16"/>
    </w:rPr>
  </w:style>
  <w:style w:type="paragraph" w:styleId="FootnoteText">
    <w:name w:val="Footnote Text"/>
    <w:basedOn w:val="Normal"/>
    <w:pPr/>
    <w:rPr/>
  </w:style>
  <w:style w:type="paragraph" w:styleId="ListParagraph">
    <w:name w:val="List Paragraph"/>
    <w:basedOn w:val="Normal"/>
    <w:qFormat/>
    <w:pPr>
      <w:spacing w:lineRule="auto" w:line="276" w:before="0" w:after="200"/>
      <w:ind w:left="720"/>
    </w:pPr>
    <w:rPr>
      <w:rFonts w:ascii="Calibri" w:hAnsi="Calibri" w:eastAsia="Calibri" w:cs="Calibri"/>
      <w:sz w:val="22"/>
      <w:szCs w:val="22"/>
    </w:rPr>
  </w:style>
  <w:style w:type="paragraph" w:styleId="Default">
    <w:name w:val="Default"/>
    <w:qFormat/>
    <w:pPr>
      <w:widowControl/>
      <w:suppressAutoHyphens w:val="true"/>
      <w:kinsoku w:val="true"/>
      <w:overflowPunct w:val="true"/>
      <w:autoSpaceDE w:val="true"/>
      <w:bidi w:val="0"/>
      <w:spacing w:before="0" w:after="0"/>
      <w:jc w:val="left"/>
    </w:pPr>
    <w:rPr>
      <w:rFonts w:ascii="Times New Roman" w:hAnsi="Times New Roman" w:eastAsia="Times New Roman" w:cs="Times New Roman"/>
      <w:color w:val="000000"/>
      <w:kern w:val="0"/>
      <w:sz w:val="24"/>
      <w:szCs w:val="24"/>
      <w:lang w:val="pt-BR" w:eastAsia="zh-CN" w:bidi="ar-SA"/>
    </w:rPr>
  </w:style>
  <w:style w:type="paragraph" w:styleId="Corpodetexto31">
    <w:name w:val="Corpo de texto 31"/>
    <w:basedOn w:val="Normal"/>
    <w:qFormat/>
    <w:pPr>
      <w:spacing w:before="0" w:after="120"/>
    </w:pPr>
    <w:rPr>
      <w:sz w:val="16"/>
      <w:szCs w:val="16"/>
    </w:rPr>
  </w:style>
  <w:style w:type="paragraph" w:styleId="Corpodetexto21">
    <w:name w:val="Corpo de texto 21"/>
    <w:basedOn w:val="Normal"/>
    <w:qFormat/>
    <w:pPr>
      <w:spacing w:lineRule="auto" w:line="480" w:before="0" w:after="120"/>
    </w:pPr>
    <w:rPr/>
  </w:style>
  <w:style w:type="paragraph" w:styleId="xl61">
    <w:name w:val="xl61"/>
    <w:basedOn w:val="Default"/>
    <w:next w:val="Default"/>
    <w:qFormat/>
    <w:pPr>
      <w:spacing w:before="280" w:after="280"/>
    </w:pPr>
    <w:rPr>
      <w:rFonts w:ascii="IPMDOI+TimesNewRoman" w:hAnsi="IPMDOI+TimesNewRoman" w:cs="IPMDOI+TimesNewRoman"/>
      <w:color w:val="auto"/>
    </w:rPr>
  </w:style>
  <w:style w:type="paragraph" w:styleId="WW-Padro">
    <w:name w:val="WW-Padrão"/>
    <w:basedOn w:val="Default"/>
    <w:next w:val="Default"/>
    <w:qFormat/>
    <w:pPr/>
    <w:rPr>
      <w:rFonts w:ascii="IPMDOI+TimesNewRoman" w:hAnsi="IPMDOI+TimesNewRoman" w:cs="IPMDOI+TimesNewRoman"/>
      <w:color w:val="auto"/>
    </w:rPr>
  </w:style>
  <w:style w:type="paragraph" w:styleId="Contedodetabela">
    <w:name w:val="Conteúdo de tabela"/>
    <w:basedOn w:val="Normal"/>
    <w:qFormat/>
    <w:pPr>
      <w:suppressLineNumbers/>
    </w:pPr>
    <w:rPr/>
  </w:style>
  <w:style w:type="paragraph" w:styleId="Contedodatabela">
    <w:name w:val="Conteúdo da tabela"/>
    <w:basedOn w:val="Normal"/>
    <w:qFormat/>
    <w:pPr>
      <w:suppressLineNumbers/>
    </w:pPr>
    <w:rPr/>
  </w:style>
  <w:style w:type="paragraph" w:styleId="Ttulodetabela">
    <w:name w:val="Título de tabela"/>
    <w:basedOn w:val="Contedodetabela"/>
    <w:qFormat/>
    <w:pPr>
      <w:jc w:val="center"/>
    </w:pPr>
    <w:rPr>
      <w:b/>
      <w:bCs/>
    </w:rPr>
  </w:style>
  <w:style w:type="paragraph" w:styleId="Recuodecorpodetexto31">
    <w:name w:val="Recuo de corpo de texto 31"/>
    <w:basedOn w:val="Normal"/>
    <w:qFormat/>
    <w:pPr>
      <w:spacing w:before="0" w:after="120"/>
      <w:ind w:left="283"/>
    </w:pPr>
    <w:rPr>
      <w:sz w:val="16"/>
      <w:szCs w:val="16"/>
    </w:rPr>
  </w:style>
  <w:style w:type="paragraph" w:styleId="WW-Textosimples">
    <w:name w:val="WW-Texto simples"/>
    <w:basedOn w:val="Normal"/>
    <w:qFormat/>
    <w:pPr/>
    <w:rPr>
      <w:rFonts w:ascii="Courier New" w:hAnsi="Courier New" w:cs="Courier New"/>
      <w:color w:val="00000A"/>
    </w:rPr>
  </w:style>
  <w:style w:type="paragraph" w:styleId="Normal0">
    <w:name w:val="Normal_0"/>
    <w:qFormat/>
    <w:pPr>
      <w:widowControl/>
      <w:tabs>
        <w:tab w:val="clear" w:pos="720"/>
        <w:tab w:val="left" w:pos="1418" w:leader="none"/>
        <w:tab w:val="left" w:pos="1985" w:leader="none"/>
        <w:tab w:val="left" w:pos="2552" w:leader="none"/>
        <w:tab w:val="left" w:pos="3402" w:leader="none"/>
        <w:tab w:val="left" w:pos="4253" w:leader="none"/>
        <w:tab w:val="left" w:pos="4820" w:leader="none"/>
      </w:tabs>
      <w:suppressAutoHyphens w:val="true"/>
      <w:kinsoku w:val="true"/>
      <w:overflowPunct w:val="true"/>
      <w:autoSpaceDE w:val="true"/>
      <w:bidi w:val="0"/>
      <w:spacing w:before="0" w:after="0"/>
      <w:jc w:val="both"/>
    </w:pPr>
    <w:rPr>
      <w:rFonts w:ascii="Times New Roman" w:hAnsi="Times New Roman" w:eastAsia="Times New Roman" w:cs="Times New Roman"/>
      <w:color w:val="auto"/>
      <w:kern w:val="0"/>
      <w:sz w:val="24"/>
      <w:szCs w:val="22"/>
      <w:lang w:val="pt-BR" w:eastAsia="en-US" w:bidi="ar-SA"/>
    </w:rPr>
  </w:style>
  <w:style w:type="paragraph" w:styleId="Indentado0">
    <w:name w:val="Indentado_0"/>
    <w:basedOn w:val="Norm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pPr>
    <w:rPr/>
  </w:style>
  <w:style w:type="paragraph" w:styleId="Pa4">
    <w:name w:val="Pa4"/>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28">
    <w:name w:val="Pa28"/>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dro">
    <w:name w:val="Padrão"/>
    <w:qFormat/>
    <w:pPr>
      <w:widowControl/>
      <w:tabs>
        <w:tab w:val="clear" w:pos="720"/>
        <w:tab w:val="left" w:pos="708" w:leader="none"/>
      </w:tabs>
      <w:suppressAutoHyphens w:val="true"/>
      <w:kinsoku w:val="true"/>
      <w:overflowPunct w:val="true"/>
      <w:autoSpaceDE w:val="true"/>
      <w:bidi w:val="0"/>
      <w:spacing w:lineRule="auto" w:line="276" w:before="0" w:after="200"/>
      <w:jc w:val="left"/>
    </w:pPr>
    <w:rPr>
      <w:rFonts w:ascii="Times New Roman" w:hAnsi="Times New Roman" w:eastAsia="SimSun;宋体" w:cs="Mangal"/>
      <w:color w:val="auto"/>
      <w:kern w:val="2"/>
      <w:sz w:val="24"/>
      <w:szCs w:val="24"/>
      <w:lang w:val="pt-BR" w:eastAsia="zh-CN" w:bidi="hi-IN"/>
    </w:rPr>
  </w:style>
  <w:style w:type="paragraph" w:styleId="LO-Normal">
    <w:name w:val="LO-Normal"/>
    <w:qFormat/>
    <w:pPr>
      <w:widowControl w:val="false"/>
      <w:suppressAutoHyphens w:val="true"/>
      <w:kinsoku w:val="true"/>
      <w:overflowPunct w:val="true"/>
      <w:autoSpaceDE w:val="true"/>
      <w:bidi w:val="0"/>
      <w:spacing w:before="0" w:after="0"/>
      <w:jc w:val="left"/>
    </w:pPr>
    <w:rPr>
      <w:rFonts w:ascii="Liberation Serif;Times New Roma" w:hAnsi="Liberation Serif;Times New Roma" w:eastAsia="SimSun" w:cs="Mangal"/>
      <w:color w:val="auto"/>
      <w:kern w:val="2"/>
      <w:sz w:val="24"/>
      <w:szCs w:val="24"/>
      <w:lang w:val="pt-BR" w:eastAsia="zh-CN" w:bidi="hi-IN"/>
    </w:rPr>
  </w:style>
  <w:style w:type="paragraph" w:styleId="Subtitle">
    <w:name w:val="Subtitle"/>
    <w:basedOn w:val="Normal"/>
    <w:next w:val="Normal"/>
    <w:qFormat/>
    <w:pPr>
      <w:keepNext w:val="true"/>
      <w:keepLines/>
      <w:spacing w:before="360" w:after="80"/>
    </w:pPr>
    <w:rPr>
      <w:rFonts w:ascii="Georgia" w:hAnsi="Georgia" w:eastAsia="Georgia" w:cs="Georgia"/>
      <w:i/>
      <w:color w:val="666666"/>
      <w:sz w:val="48"/>
      <w:szCs w:val="48"/>
    </w:rPr>
  </w:style>
  <w:style w:type="paragraph" w:styleId="Contedodoquadro">
    <w:name w:val="Conteúdo do quadro"/>
    <w:basedOn w:val="Normal"/>
    <w:qFormat/>
    <w:pPr/>
    <w:rPr/>
  </w:style>
  <w:style w:type="numbering" w:styleId="Semlista">
    <w:name w:val="Sem lista"/>
    <w:qFormat/>
  </w:style>
  <w:style w:type="numbering" w:styleId="WW8Num3">
    <w:name w:val="WW8Num3"/>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fontTable" Target="fontTable.xml"/><Relationship Id="rId5" Type="http://schemas.openxmlformats.org/officeDocument/2006/relationships/settings" Target="settings.xml"/><Relationship Id="rId6"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_rels/footer1.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header1.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146</TotalTime>
  <Application>LibreOffice/24.2.6.2$Windows_X86_64 LibreOffice_project/ef66aa7e36a1bb8e65bfbc63aba53045a14d0871</Application>
  <AppVersion>15.0000</AppVersion>
  <Pages>11</Pages>
  <Words>3835</Words>
  <Characters>21952</Characters>
  <CharactersWithSpaces>25533</CharactersWithSpaces>
  <Paragraphs>289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2019-06-04T16:18:00Z</dcterms:created>
  <dc:creator>PMSGP</dc:creator>
  <dc:description/>
  <dc:language>pt-BR</dc:language>
  <cp:lastModifiedBy/>
  <cp:lastPrinted>2025-12-02T19:35:00Z</cp:lastPrinted>
  <dcterms:modified xsi:type="dcterms:W3CDTF">2025-12-29T15:59:49Z</dcterms:modified>
  <cp:revision>23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